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1"/>
          <w:left w:val="none" w:color="auto" w:sz="0" w:space="4"/>
          <w:bottom w:val="none" w:color="5B9BD5" w:themeColor="accent1" w:sz="0" w:space="1"/>
          <w:right w:val="none" w:color="auto" w:sz="0" w:space="4"/>
        </w:pBdr>
        <w:spacing w:line="240" w:lineRule="auto"/>
        <w:ind w:left="6720" w:leftChars="0" w:hanging="6720" w:hangingChars="800"/>
        <w:jc w:val="center"/>
        <w:rPr>
          <w:rFonts w:hint="eastAsia" w:ascii="仿宋" w:hAnsi="仿宋" w:eastAsia="仿宋" w:cs="仿宋"/>
          <w:lang w:val="en-US" w:eastAsia="zh-CN"/>
        </w:rPr>
      </w:pPr>
      <w:r>
        <w:rPr>
          <w:rFonts w:hint="eastAsia" w:ascii="华文行楷" w:hAnsi="华文行楷" w:eastAsia="华文行楷" w:cs="华文行楷"/>
          <w:color w:val="FF0000"/>
          <w:sz w:val="84"/>
          <w:szCs w:val="84"/>
          <w:lang w:val="en-US" w:eastAsia="zh-CN"/>
        </w:rPr>
        <w:t>管理学术文摘</w:t>
      </w:r>
      <w:r>
        <w:rPr>
          <w:rFonts w:hint="eastAsia"/>
          <w:sz w:val="84"/>
          <w:szCs w:val="84"/>
          <w:lang w:val="en-US" w:eastAsia="zh-CN"/>
        </w:rPr>
        <w:t xml:space="preserve">   </w:t>
      </w:r>
      <w:r>
        <w:rPr>
          <w:rFonts w:hint="eastAsia"/>
          <w:lang w:val="en-US" w:eastAsia="zh-CN"/>
        </w:rPr>
        <w:t xml:space="preserve">    </w:t>
      </w:r>
      <w:r>
        <w:rPr>
          <w:rFonts w:hint="eastAsia"/>
          <w:sz w:val="28"/>
          <w:szCs w:val="28"/>
          <w:lang w:val="en-US" w:eastAsia="zh-CN"/>
        </w:rPr>
        <w:t xml:space="preserve"> </w:t>
      </w:r>
      <w:r>
        <w:rPr>
          <w:rFonts w:hint="eastAsia" w:ascii="仿宋" w:hAnsi="仿宋" w:eastAsia="仿宋" w:cs="仿宋"/>
          <w:b/>
          <w:bCs/>
          <w:sz w:val="28"/>
          <w:szCs w:val="28"/>
          <w:lang w:val="en-US" w:eastAsia="zh-CN"/>
        </w:rPr>
        <w:t>总第 5 期</w:t>
      </w:r>
      <w:r>
        <w:rPr>
          <w:rFonts w:hint="eastAsia" w:ascii="仿宋" w:hAnsi="仿宋" w:eastAsia="仿宋" w:cs="仿宋"/>
          <w:b/>
          <w:bCs/>
          <w:lang w:val="en-US" w:eastAsia="zh-CN"/>
        </w:rPr>
        <w:t xml:space="preserve"> </w:t>
      </w:r>
      <w:r>
        <w:rPr>
          <w:rFonts w:hint="eastAsia" w:ascii="仿宋" w:hAnsi="仿宋" w:eastAsia="仿宋" w:cs="仿宋"/>
          <w:lang w:val="en-US" w:eastAsia="zh-CN"/>
        </w:rPr>
        <w:t xml:space="preserve"> </w:t>
      </w:r>
    </w:p>
    <w:p>
      <w:pPr>
        <w:pBdr>
          <w:top w:val="none" w:color="auto" w:sz="0" w:space="1"/>
          <w:left w:val="none" w:color="auto" w:sz="0" w:space="4"/>
          <w:bottom w:val="none" w:color="5B9BD5" w:themeColor="accent1" w:sz="0" w:space="1"/>
          <w:right w:val="none" w:color="auto" w:sz="0" w:space="4"/>
        </w:pBdr>
        <w:spacing w:line="240" w:lineRule="auto"/>
        <w:ind w:left="1920" w:leftChars="0" w:hanging="1920" w:hangingChars="800"/>
        <w:jc w:val="center"/>
        <w:rPr>
          <w:rFonts w:hint="eastAsia" w:ascii="仿宋" w:hAnsi="仿宋" w:eastAsia="仿宋" w:cs="仿宋"/>
          <w:sz w:val="24"/>
          <w:szCs w:val="24"/>
          <w:lang w:val="en-US" w:eastAsia="zh-CN"/>
        </w:rPr>
      </w:pPr>
      <w:r>
        <w:rPr>
          <w:rFonts w:hint="eastAsia" w:ascii="仿宋" w:hAnsi="仿宋" w:eastAsia="仿宋" w:cs="仿宋"/>
          <w:lang w:val="en-US" w:eastAsia="zh-CN"/>
        </w:rPr>
        <w:t xml:space="preserve">                                               </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2019年</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第 5期</w:t>
      </w:r>
    </w:p>
    <w:p>
      <w:pPr>
        <w:ind w:left="0" w:leftChars="0" w:firstLine="0" w:firstLineChars="0"/>
        <w:rPr>
          <w:rFonts w:hint="eastAsia" w:ascii="仿宋" w:hAnsi="仿宋" w:eastAsia="仿宋" w:cs="仿宋"/>
          <w:u w:val="double" w:color="FF0000"/>
          <w:lang w:val="en-US" w:eastAsia="zh-CN"/>
        </w:rPr>
      </w:pPr>
      <w:r>
        <w:rPr>
          <w:rFonts w:hint="eastAsia" w:ascii="仿宋" w:hAnsi="仿宋" w:eastAsia="仿宋" w:cs="仿宋"/>
          <w:u w:val="double" w:color="FF0000"/>
          <w:lang w:val="en-US" w:eastAsia="zh-CN"/>
        </w:rPr>
        <w:t xml:space="preserve">                 仰恩大学管理学院编                2019 年6 月 10 日</w:t>
      </w:r>
    </w:p>
    <w:p>
      <w:pPr>
        <w:pBdr>
          <w:top w:val="none" w:color="auto" w:sz="0" w:space="1"/>
          <w:left w:val="none" w:color="auto" w:sz="0" w:space="4"/>
          <w:bottom w:val="none" w:color="5B9BD5" w:themeColor="accent1" w:sz="0" w:space="1"/>
          <w:right w:val="none" w:color="auto" w:sz="0" w:space="4"/>
        </w:pBdr>
        <w:spacing w:line="240" w:lineRule="auto"/>
        <w:ind w:left="1920" w:leftChars="0" w:hanging="1920" w:hangingChars="800"/>
        <w:jc w:val="center"/>
        <w:rPr>
          <w:rFonts w:hint="eastAsia" w:ascii="仿宋" w:hAnsi="仿宋" w:eastAsia="仿宋" w:cs="仿宋"/>
          <w:b/>
          <w:bCs/>
          <w:color w:val="FF0000"/>
          <w:sz w:val="32"/>
          <w:szCs w:val="32"/>
          <w:lang w:val="en-US" w:eastAsia="zh-CN"/>
        </w:rPr>
      </w:pPr>
      <w:r>
        <w:rPr>
          <w:rFonts w:hint="eastAsia"/>
          <w:u w:val="none" w:color="auto"/>
          <w:lang w:val="en-US" w:eastAsia="zh-CN"/>
        </w:rPr>
        <w:t xml:space="preserve">   </w:t>
      </w:r>
      <w:r>
        <w:rPr>
          <w:rFonts w:hint="eastAsia" w:ascii="仿宋" w:hAnsi="仿宋" w:eastAsia="仿宋" w:cs="仿宋"/>
          <w:b/>
          <w:bCs/>
          <w:color w:val="FF0000"/>
          <w:sz w:val="32"/>
          <w:szCs w:val="32"/>
          <w:lang w:val="en-US" w:eastAsia="zh-CN"/>
        </w:rPr>
        <w:t>本期目录</w:t>
      </w:r>
    </w:p>
    <w:p>
      <w:pPr>
        <w:ind w:left="0" w:leftChars="0" w:firstLine="0" w:firstLineChars="0"/>
        <w:rPr>
          <w:rFonts w:hint="eastAsia" w:ascii="仿宋" w:hAnsi="仿宋" w:eastAsia="仿宋" w:cs="仿宋"/>
          <w:sz w:val="24"/>
          <w:szCs w:val="24"/>
        </w:rPr>
      </w:pPr>
      <w:r>
        <w:rPr>
          <w:rFonts w:hint="eastAsia" w:ascii="仿宋" w:hAnsi="仿宋" w:eastAsia="仿宋" w:cs="仿宋"/>
          <w:b w:val="0"/>
          <w:bCs w:val="0"/>
          <w:color w:val="auto"/>
          <w:sz w:val="24"/>
          <w:szCs w:val="24"/>
          <w:lang w:val="en-US" w:eastAsia="zh-CN"/>
        </w:rPr>
        <w:t>（一）.</w:t>
      </w:r>
      <w:r>
        <w:rPr>
          <w:rFonts w:hint="eastAsia" w:ascii="仿宋" w:hAnsi="仿宋" w:eastAsia="仿宋" w:cs="仿宋"/>
          <w:i w:val="0"/>
          <w:caps w:val="0"/>
          <w:color w:val="333333"/>
          <w:spacing w:val="8"/>
          <w:sz w:val="24"/>
          <w:szCs w:val="24"/>
          <w:shd w:val="clear" w:fill="FFFFFF"/>
        </w:rPr>
        <w:t>科技成果转化“三段论”</w:t>
      </w:r>
      <w:r>
        <w:rPr>
          <w:rFonts w:hint="eastAsia" w:ascii="仿宋" w:hAnsi="仿宋" w:eastAsia="仿宋" w:cs="仿宋"/>
          <w:b w:val="0"/>
          <w:bCs w:val="0"/>
          <w:i w:val="0"/>
          <w:caps w:val="0"/>
          <w:color w:val="auto"/>
          <w:spacing w:val="8"/>
          <w:sz w:val="24"/>
          <w:szCs w:val="24"/>
          <w:shd w:val="clear" w:fill="FFFFFF"/>
          <w:lang w:eastAsia="zh-CN"/>
        </w:rPr>
        <w:t>（管理学院翁景德院长提供）</w:t>
      </w:r>
      <w:r>
        <w:rPr>
          <w:rFonts w:hint="eastAsia" w:ascii="仿宋" w:hAnsi="仿宋" w:eastAsia="仿宋" w:cs="仿宋"/>
          <w:b w:val="0"/>
          <w:bCs w:val="0"/>
          <w:i w:val="0"/>
          <w:caps w:val="0"/>
          <w:color w:val="auto"/>
          <w:spacing w:val="8"/>
          <w:sz w:val="24"/>
          <w:szCs w:val="24"/>
          <w:shd w:val="clear" w:fill="FFFFFF"/>
          <w:lang w:val="en-US" w:eastAsia="zh-CN"/>
        </w:rPr>
        <w:t>001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rFonts w:hint="default"/>
          <w:lang w:val="en-US" w:eastAsia="zh-CN"/>
        </w:rPr>
      </w:pPr>
      <w:r>
        <w:rPr>
          <w:rFonts w:hint="eastAsia" w:ascii="仿宋" w:hAnsi="仿宋" w:eastAsia="仿宋" w:cs="仿宋"/>
          <w:b w:val="0"/>
          <w:bCs w:val="0"/>
          <w:i w:val="0"/>
          <w:caps w:val="0"/>
          <w:color w:val="auto"/>
          <w:spacing w:val="0"/>
          <w:sz w:val="24"/>
          <w:szCs w:val="24"/>
          <w:shd w:val="clear" w:fill="FFFFFF"/>
          <w:lang w:val="en-US" w:eastAsia="zh-CN"/>
        </w:rPr>
        <w:t>（二）.</w:t>
      </w:r>
      <w:r>
        <w:rPr>
          <w:rFonts w:hint="eastAsia" w:ascii="仿宋" w:hAnsi="仿宋" w:eastAsia="仿宋" w:cs="仿宋"/>
          <w:b w:val="0"/>
          <w:bCs/>
          <w:sz w:val="24"/>
          <w:szCs w:val="24"/>
        </w:rPr>
        <w:t>全球文化创意产业创新动态与中国借鉴（</w:t>
      </w:r>
      <w:r>
        <w:rPr>
          <w:rFonts w:hint="eastAsia" w:ascii="仿宋" w:hAnsi="仿宋" w:eastAsia="仿宋" w:cs="仿宋"/>
          <w:b w:val="0"/>
          <w:bCs/>
          <w:sz w:val="24"/>
          <w:szCs w:val="24"/>
          <w:lang w:eastAsia="zh-CN"/>
        </w:rPr>
        <w:t>工商管理系蒋志丹老师</w:t>
      </w:r>
      <w:r>
        <w:rPr>
          <w:rFonts w:hint="eastAsia" w:ascii="仿宋" w:hAnsi="仿宋" w:eastAsia="仿宋" w:cs="仿宋"/>
          <w:b w:val="0"/>
          <w:bCs/>
          <w:sz w:val="24"/>
          <w:szCs w:val="24"/>
        </w:rPr>
        <w:t>提供）</w:t>
      </w:r>
      <w:r>
        <w:rPr>
          <w:rFonts w:hint="eastAsia" w:ascii="仿宋" w:hAnsi="仿宋" w:eastAsia="仿宋" w:cs="仿宋"/>
          <w:b w:val="0"/>
          <w:bCs w:val="0"/>
          <w:i w:val="0"/>
          <w:caps w:val="0"/>
          <w:color w:val="auto"/>
          <w:spacing w:val="0"/>
          <w:sz w:val="24"/>
          <w:szCs w:val="24"/>
          <w:shd w:val="clear" w:fill="FFFFFF"/>
          <w:lang w:val="en-US" w:eastAsia="zh-CN"/>
        </w:rPr>
        <w:t>003</w:t>
      </w: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eastAsia" w:ascii="仿宋" w:hAnsi="仿宋" w:eastAsia="仿宋" w:cs="仿宋"/>
          <w:b w:val="0"/>
          <w:bCs/>
          <w:sz w:val="24"/>
          <w:szCs w:val="24"/>
          <w:lang w:val="en-US" w:eastAsia="zh-CN"/>
        </w:rPr>
      </w:pPr>
      <w:r>
        <w:rPr>
          <w:rStyle w:val="11"/>
          <w:rFonts w:hint="eastAsia" w:ascii="仿宋" w:hAnsi="仿宋" w:eastAsia="仿宋" w:cs="仿宋"/>
          <w:b w:val="0"/>
          <w:bCs w:val="0"/>
          <w:i w:val="0"/>
          <w:caps w:val="0"/>
          <w:color w:val="auto"/>
          <w:spacing w:val="0"/>
          <w:sz w:val="24"/>
          <w:szCs w:val="24"/>
          <w:shd w:val="clear" w:color="auto" w:fill="FFFFFF"/>
          <w:lang w:val="en-US" w:eastAsia="zh-CN"/>
        </w:rPr>
        <w:t>（三）.</w:t>
      </w:r>
      <w:r>
        <w:rPr>
          <w:rFonts w:hint="eastAsia" w:ascii="仿宋" w:hAnsi="仿宋" w:eastAsia="仿宋" w:cs="仿宋"/>
          <w:sz w:val="24"/>
          <w:szCs w:val="24"/>
        </w:rPr>
        <w:t>应用型高校打造“金课”要体现“七性”</w:t>
      </w:r>
      <w:r>
        <w:rPr>
          <w:rFonts w:hint="eastAsia" w:ascii="仿宋" w:hAnsi="仿宋" w:eastAsia="仿宋" w:cs="仿宋"/>
          <w:sz w:val="24"/>
          <w:szCs w:val="24"/>
          <w:lang w:eastAsia="zh-CN"/>
        </w:rPr>
        <w:t>（公共管理系</w:t>
      </w:r>
      <w:r>
        <w:rPr>
          <w:rFonts w:hint="eastAsia" w:ascii="仿宋" w:hAnsi="仿宋" w:eastAsia="仿宋" w:cs="仿宋"/>
          <w:sz w:val="24"/>
          <w:szCs w:val="24"/>
          <w:lang w:val="en-US" w:eastAsia="zh-CN"/>
        </w:rPr>
        <w:t>侯冬梅老师提供</w:t>
      </w:r>
      <w:r>
        <w:rPr>
          <w:rFonts w:hint="eastAsia" w:ascii="仿宋" w:hAnsi="仿宋" w:eastAsia="仿宋" w:cs="仿宋"/>
          <w:sz w:val="24"/>
          <w:szCs w:val="24"/>
          <w:lang w:eastAsia="zh-CN"/>
        </w:rPr>
        <w:t>）</w:t>
      </w:r>
      <w:r>
        <w:rPr>
          <w:rFonts w:hint="eastAsia" w:ascii="仿宋" w:hAnsi="仿宋" w:eastAsia="仿宋" w:cs="仿宋"/>
          <w:b w:val="0"/>
          <w:bCs/>
          <w:sz w:val="24"/>
          <w:szCs w:val="24"/>
          <w:lang w:val="en-US" w:eastAsia="zh-CN"/>
        </w:rPr>
        <w:t>013</w:t>
      </w: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eastAsia" w:ascii="仿宋" w:hAnsi="仿宋" w:eastAsia="仿宋" w:cs="仿宋"/>
          <w:b w:val="0"/>
          <w:bCs w:val="0"/>
          <w:i w:val="0"/>
          <w:caps w:val="0"/>
          <w:color w:val="auto"/>
          <w:spacing w:val="8"/>
          <w:sz w:val="24"/>
          <w:szCs w:val="24"/>
          <w:shd w:val="clear" w:fill="FFFFFF"/>
          <w:lang w:val="en-US" w:eastAsia="zh-CN"/>
        </w:rPr>
      </w:pPr>
      <w:r>
        <w:rPr>
          <w:rFonts w:hint="eastAsia" w:ascii="仿宋" w:hAnsi="仿宋" w:eastAsia="仿宋" w:cs="仿宋"/>
          <w:b w:val="0"/>
          <w:bCs w:val="0"/>
          <w:i w:val="0"/>
          <w:caps w:val="0"/>
          <w:color w:val="auto"/>
          <w:spacing w:val="8"/>
          <w:sz w:val="24"/>
          <w:szCs w:val="24"/>
          <w:shd w:val="clear" w:fill="FFFFFF"/>
          <w:lang w:val="en-US" w:eastAsia="zh-CN"/>
        </w:rPr>
        <w:t>（四）.</w:t>
      </w:r>
      <w:r>
        <w:rPr>
          <w:rFonts w:hint="eastAsia" w:ascii="仿宋" w:hAnsi="仿宋" w:eastAsia="仿宋" w:cs="仿宋"/>
          <w:i w:val="0"/>
          <w:caps w:val="0"/>
          <w:color w:val="333333"/>
          <w:spacing w:val="8"/>
          <w:sz w:val="24"/>
          <w:szCs w:val="24"/>
          <w:shd w:val="clear" w:fill="FFFFFF"/>
        </w:rPr>
        <w:t>管理学领域综述类论文怎么写？这篇文章说的透彻！</w:t>
      </w:r>
      <w:r>
        <w:rPr>
          <w:rFonts w:hint="eastAsia" w:ascii="仿宋" w:hAnsi="仿宋" w:eastAsia="仿宋" w:cs="仿宋"/>
          <w:b w:val="0"/>
          <w:bCs w:val="0"/>
          <w:i w:val="0"/>
          <w:caps w:val="0"/>
          <w:color w:val="auto"/>
          <w:spacing w:val="8"/>
          <w:sz w:val="24"/>
          <w:szCs w:val="24"/>
          <w:shd w:val="clear" w:fill="FFFFFF"/>
          <w:lang w:eastAsia="zh-CN"/>
        </w:rPr>
        <w:t>（</w:t>
      </w:r>
      <w:r>
        <w:rPr>
          <w:rFonts w:hint="eastAsia" w:ascii="仿宋" w:hAnsi="仿宋" w:eastAsia="仿宋" w:cs="仿宋"/>
          <w:color w:val="auto"/>
          <w:sz w:val="24"/>
          <w:szCs w:val="24"/>
          <w:lang w:eastAsia="zh-CN"/>
        </w:rPr>
        <w:t>工业工程系杨敏老师提供</w:t>
      </w:r>
      <w:r>
        <w:rPr>
          <w:rFonts w:hint="eastAsia" w:ascii="仿宋" w:hAnsi="仿宋" w:eastAsia="仿宋" w:cs="仿宋"/>
          <w:b w:val="0"/>
          <w:bCs w:val="0"/>
          <w:i w:val="0"/>
          <w:caps w:val="0"/>
          <w:color w:val="auto"/>
          <w:spacing w:val="8"/>
          <w:sz w:val="24"/>
          <w:szCs w:val="24"/>
          <w:shd w:val="clear" w:fill="FFFFFF"/>
          <w:lang w:eastAsia="zh-CN"/>
        </w:rPr>
        <w:t>）</w:t>
      </w:r>
      <w:r>
        <w:rPr>
          <w:rFonts w:hint="eastAsia" w:ascii="仿宋" w:hAnsi="仿宋" w:eastAsia="仿宋" w:cs="仿宋"/>
          <w:b w:val="0"/>
          <w:bCs w:val="0"/>
          <w:i w:val="0"/>
          <w:caps w:val="0"/>
          <w:color w:val="auto"/>
          <w:spacing w:val="8"/>
          <w:sz w:val="24"/>
          <w:szCs w:val="24"/>
          <w:shd w:val="clear" w:fill="FFFFFF"/>
          <w:lang w:val="en-US" w:eastAsia="zh-CN"/>
        </w:rPr>
        <w:t>019</w:t>
      </w:r>
    </w:p>
    <w:p>
      <w:pPr>
        <w:ind w:left="0" w:leftChars="0" w:firstLine="0" w:firstLineChars="0"/>
        <w:rPr>
          <w:rFonts w:hint="default" w:ascii="仿宋" w:hAnsi="仿宋" w:eastAsia="仿宋" w:cs="仿宋"/>
          <w:sz w:val="24"/>
          <w:szCs w:val="24"/>
          <w:lang w:val="en-US" w:eastAsia="zh-CN"/>
        </w:rPr>
      </w:pPr>
      <w:r>
        <w:rPr>
          <w:rFonts w:hint="eastAsia" w:ascii="仿宋" w:hAnsi="仿宋" w:eastAsia="仿宋" w:cs="仿宋"/>
          <w:b w:val="0"/>
          <w:bCs w:val="0"/>
          <w:i w:val="0"/>
          <w:caps w:val="0"/>
          <w:color w:val="auto"/>
          <w:spacing w:val="8"/>
          <w:sz w:val="24"/>
          <w:szCs w:val="24"/>
          <w:shd w:val="clear" w:fill="FFFFFF"/>
          <w:lang w:val="en-US" w:eastAsia="zh-CN"/>
        </w:rPr>
        <w:t>（五）.</w:t>
      </w:r>
      <w:r>
        <w:rPr>
          <w:rFonts w:hint="eastAsia" w:ascii="仿宋" w:hAnsi="仿宋" w:eastAsia="仿宋" w:cs="仿宋"/>
          <w:color w:val="231F20"/>
          <w:sz w:val="24"/>
          <w:szCs w:val="24"/>
        </w:rPr>
        <w:t>农业物联网：实施“互联网＋现代农业”的技术支撑</w:t>
      </w:r>
      <w:r>
        <w:rPr>
          <w:rFonts w:hint="eastAsia" w:ascii="仿宋" w:hAnsi="仿宋" w:eastAsia="仿宋" w:cs="仿宋"/>
          <w:color w:val="231F20"/>
          <w:spacing w:val="13"/>
          <w:w w:val="102"/>
          <w:sz w:val="24"/>
          <w:szCs w:val="24"/>
        </w:rPr>
        <w:t>—基于江苏省农业物联网示范应用的调查</w:t>
      </w:r>
      <w:r>
        <w:rPr>
          <w:rFonts w:hint="eastAsia" w:ascii="仿宋" w:hAnsi="仿宋" w:eastAsia="仿宋" w:cs="仿宋"/>
          <w:color w:val="231F20"/>
          <w:spacing w:val="13"/>
          <w:w w:val="102"/>
          <w:sz w:val="24"/>
          <w:szCs w:val="24"/>
          <w:lang w:eastAsia="zh-CN"/>
        </w:rPr>
        <w:t>（物流管理系郑雪清老师提供）</w:t>
      </w:r>
      <w:r>
        <w:rPr>
          <w:rFonts w:hint="eastAsia" w:ascii="仿宋" w:hAnsi="仿宋" w:eastAsia="仿宋" w:cs="仿宋"/>
          <w:color w:val="231F20"/>
          <w:spacing w:val="13"/>
          <w:w w:val="102"/>
          <w:sz w:val="24"/>
          <w:szCs w:val="24"/>
          <w:lang w:val="en-US" w:eastAsia="zh-CN"/>
        </w:rPr>
        <w:t>031</w:t>
      </w:r>
    </w:p>
    <w:p>
      <w:pPr>
        <w:keepNext w:val="0"/>
        <w:keepLines w:val="0"/>
        <w:widowControl/>
        <w:suppressLineNumbers w:val="0"/>
        <w:ind w:left="0" w:leftChars="0" w:firstLine="0" w:firstLineChars="0"/>
        <w:jc w:val="left"/>
        <w:rPr>
          <w:rFonts w:hint="default" w:ascii="仿宋" w:hAnsi="仿宋" w:eastAsia="仿宋" w:cs="仿宋"/>
          <w:sz w:val="24"/>
          <w:szCs w:val="24"/>
          <w:lang w:val="en-US" w:eastAsia="zh-CN"/>
        </w:rPr>
      </w:pPr>
      <w:r>
        <w:rPr>
          <w:rFonts w:hint="eastAsia" w:ascii="仿宋" w:hAnsi="仿宋" w:eastAsia="仿宋" w:cs="仿宋"/>
          <w:sz w:val="24"/>
          <w:szCs w:val="24"/>
          <w:u w:val="none" w:color="auto"/>
          <w:lang w:val="en-US" w:eastAsia="zh-CN"/>
        </w:rPr>
        <w:t>（六）.</w:t>
      </w:r>
      <w:r>
        <w:rPr>
          <w:rFonts w:hint="eastAsia" w:ascii="仿宋" w:hAnsi="仿宋" w:eastAsia="仿宋" w:cs="仿宋"/>
          <w:color w:val="000000"/>
          <w:kern w:val="0"/>
          <w:sz w:val="24"/>
          <w:szCs w:val="24"/>
          <w:lang w:val="en-US" w:eastAsia="zh-CN" w:bidi="ar"/>
        </w:rPr>
        <w:t>虚拟品牌社群认同对</w:t>
      </w:r>
      <w:r>
        <w:rPr>
          <w:rFonts w:hint="eastAsia" w:ascii="仿宋" w:hAnsi="仿宋" w:eastAsia="仿宋" w:cs="仿宋"/>
          <w:color w:val="009FF2"/>
          <w:kern w:val="0"/>
          <w:sz w:val="24"/>
          <w:szCs w:val="24"/>
          <w:lang w:val="en-US" w:eastAsia="zh-CN" w:bidi="ar"/>
        </w:rPr>
        <w:t xml:space="preserve">品牌忠诚影响的实证分析 </w:t>
      </w:r>
      <w:r>
        <w:rPr>
          <w:rFonts w:hint="eastAsia" w:ascii="仿宋" w:hAnsi="仿宋" w:eastAsia="仿宋" w:cs="仿宋"/>
          <w:color w:val="000000"/>
          <w:kern w:val="0"/>
          <w:sz w:val="24"/>
          <w:szCs w:val="24"/>
          <w:lang w:val="en-US" w:eastAsia="zh-CN" w:bidi="ar"/>
        </w:rPr>
        <w:t>—基于价值共创的中介效应</w:t>
      </w:r>
      <w:r>
        <w:rPr>
          <w:rFonts w:hint="eastAsia" w:ascii="仿宋" w:hAnsi="仿宋" w:eastAsia="仿宋" w:cs="仿宋"/>
          <w:sz w:val="24"/>
          <w:szCs w:val="24"/>
          <w:lang w:val="en-US" w:eastAsia="zh-CN"/>
        </w:rPr>
        <w:t>（市场营销系梁世珠老师提供）040</w:t>
      </w: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0" w:firstLineChars="0"/>
        <w:rPr>
          <w:rFonts w:hint="default"/>
          <w:u w:val="none" w:color="auto"/>
          <w:lang w:val="en-US" w:eastAsia="zh-CN"/>
        </w:rPr>
      </w:pPr>
    </w:p>
    <w:p>
      <w:pPr>
        <w:ind w:left="0" w:leftChars="0" w:firstLine="2352" w:firstLineChars="700"/>
        <w:rPr>
          <w:rFonts w:hint="eastAsia" w:ascii="仿宋" w:hAnsi="仿宋" w:eastAsia="仿宋" w:cs="仿宋"/>
          <w:i w:val="0"/>
          <w:caps w:val="0"/>
          <w:color w:val="333333"/>
          <w:spacing w:val="8"/>
          <w:sz w:val="32"/>
          <w:szCs w:val="32"/>
          <w:shd w:val="clear" w:fill="FFFFFF"/>
        </w:rPr>
        <w:sectPr>
          <w:footerReference r:id="rId3" w:type="default"/>
          <w:pgSz w:w="11906" w:h="16838"/>
          <w:pgMar w:top="1440" w:right="1800" w:bottom="1440" w:left="1800" w:header="851" w:footer="992" w:gutter="0"/>
          <w:cols w:space="425" w:num="1"/>
          <w:docGrid w:type="lines" w:linePitch="312" w:charSpace="0"/>
        </w:sectPr>
      </w:pPr>
    </w:p>
    <w:p>
      <w:pPr>
        <w:ind w:left="0" w:leftChars="0" w:firstLine="2352" w:firstLineChars="700"/>
        <w:rPr>
          <w:rFonts w:hint="eastAsia" w:ascii="仿宋" w:hAnsi="仿宋" w:eastAsia="仿宋" w:cs="仿宋"/>
          <w:i w:val="0"/>
          <w:caps w:val="0"/>
          <w:color w:val="333333"/>
          <w:spacing w:val="8"/>
          <w:sz w:val="32"/>
          <w:szCs w:val="32"/>
          <w:shd w:val="clear" w:fill="FFFFFF"/>
        </w:rPr>
      </w:pPr>
      <w:r>
        <w:rPr>
          <w:rFonts w:hint="eastAsia" w:ascii="仿宋" w:hAnsi="仿宋" w:eastAsia="仿宋" w:cs="仿宋"/>
          <w:i w:val="0"/>
          <w:caps w:val="0"/>
          <w:color w:val="333333"/>
          <w:spacing w:val="8"/>
          <w:sz w:val="32"/>
          <w:szCs w:val="32"/>
          <w:shd w:val="clear" w:fill="FFFFFF"/>
        </w:rPr>
        <w:t>科技成果转化“三段论”</w:t>
      </w:r>
    </w:p>
    <w:p>
      <w:pPr>
        <w:ind w:left="0" w:leftChars="0" w:firstLine="2076" w:firstLineChars="600"/>
        <w:rPr>
          <w:rFonts w:hint="eastAsia" w:ascii="微软雅黑" w:hAnsi="微软雅黑" w:eastAsia="微软雅黑" w:cs="微软雅黑"/>
          <w:i w:val="0"/>
          <w:caps w:val="0"/>
          <w:color w:val="333333"/>
          <w:spacing w:val="8"/>
          <w:sz w:val="33"/>
          <w:szCs w:val="33"/>
          <w:shd w:val="clear" w:fill="FFFFFF"/>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Style w:val="11"/>
          <w:rFonts w:hint="eastAsia" w:ascii="仿宋" w:hAnsi="仿宋" w:eastAsia="仿宋" w:cs="仿宋"/>
          <w:i w:val="0"/>
          <w:caps w:val="0"/>
          <w:color w:val="0052FF"/>
          <w:spacing w:val="8"/>
          <w:sz w:val="24"/>
          <w:szCs w:val="24"/>
          <w:shd w:val="clear" w:fill="FFFFFF"/>
        </w:rPr>
        <w:t>硅谷创投教父彼得·蒂尔写过一本很有名的书《从0到1》，笔者结合20余年的科技工作实践经历，将“从0到 1”做一个延伸，即“1到10”、“10到100”，并将此与科技成果转化相结合，定义为“ 科技成果转化‘三段论’”。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2016年年5月30日召开的全国科技创新大会提出，要把科技创新摆在更加重要位置，吹响建设世界科技强国的号角。面向世界科技前沿、面向经济主战场、面向国家重大需求，要加快各领域科技创新，掌握全球科技竞争先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那么，如何促进科技成果转化为现实生产力，加速科技成果的产业化，尽快抢占全球竞争先机？硅谷创投教父彼得·蒂尔写过一本很有名的书《从0到1》，笔者结合20余年的科技工作实践经历，将“从0到 1”做一个延伸，即“1到10”、“10到100”，并将此与科技成果转化相结合，定义为“ 科技成果转化‘三段论’"。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i/>
          <w:caps w:val="0"/>
          <w:color w:val="FEFEFE"/>
          <w:spacing w:val="8"/>
          <w:sz w:val="24"/>
          <w:szCs w:val="24"/>
          <w:shd w:val="clear" w:fill="FF4C41"/>
        </w:rPr>
        <w:t>第一阶段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Style w:val="11"/>
          <w:rFonts w:hint="eastAsia" w:ascii="仿宋" w:hAnsi="仿宋" w:eastAsia="仿宋" w:cs="仿宋"/>
          <w:i w:val="0"/>
          <w:caps w:val="0"/>
          <w:color w:val="0052FF"/>
          <w:spacing w:val="8"/>
          <w:sz w:val="24"/>
          <w:szCs w:val="24"/>
          <w:shd w:val="clear" w:fill="FFFFFF"/>
        </w:rPr>
        <w:t>从0到1</w:t>
      </w:r>
      <w:r>
        <w:rPr>
          <w:rFonts w:hint="eastAsia" w:ascii="仿宋" w:hAnsi="仿宋" w:eastAsia="仿宋" w:cs="仿宋"/>
          <w:b w:val="0"/>
          <w:i w:val="0"/>
          <w:caps w:val="0"/>
          <w:color w:val="3E3E3E"/>
          <w:spacing w:val="8"/>
          <w:sz w:val="24"/>
          <w:szCs w:val="24"/>
          <w:shd w:val="clear" w:fill="FFFFFF"/>
        </w:rPr>
        <w:t>，即从高校或科研院所研究出的科技成果，试制出样品，进孵化器成立公司孵化，然后创业者筹资或吸引天使投资，进行小批量生产后开始走向市场。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经过几年摸爬滚打，若能拿下国家高新技术企业资格（科技部、财政部和国家税务总局三家联合认可），并且年利润达到30万~50万元水平，即为达到“1”的标准。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据科技部数据显示，目前全国有高新技术企业8万余家。近两年，由于政府大力提倡“大众创业，万众创新”，孵化器（众创空间）蓬勃发展，为“从0到1”这个阶段的发展，提供了良好的土壤和广大市场。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但是不可否认，这个阶段死亡率仍然是最高的。有小部分创业企业最终达到高新技术企业目标已相当不错，能达到30万~50万元利润的可能更少。</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i/>
          <w:caps w:val="0"/>
          <w:color w:val="FEFEFE"/>
          <w:spacing w:val="8"/>
          <w:sz w:val="24"/>
          <w:szCs w:val="24"/>
          <w:shd w:val="clear" w:fill="FF4C41"/>
        </w:rPr>
        <w:t>第二阶段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Style w:val="11"/>
          <w:rFonts w:hint="eastAsia" w:ascii="仿宋" w:hAnsi="仿宋" w:eastAsia="仿宋" w:cs="仿宋"/>
          <w:i w:val="0"/>
          <w:caps w:val="0"/>
          <w:color w:val="0052FF"/>
          <w:spacing w:val="8"/>
          <w:sz w:val="24"/>
          <w:szCs w:val="24"/>
          <w:shd w:val="clear" w:fill="FFFFFF"/>
        </w:rPr>
        <w:t>从1到10</w:t>
      </w:r>
      <w:r>
        <w:rPr>
          <w:rFonts w:hint="eastAsia" w:ascii="仿宋" w:hAnsi="仿宋" w:eastAsia="仿宋" w:cs="仿宋"/>
          <w:b w:val="0"/>
          <w:i w:val="0"/>
          <w:caps w:val="0"/>
          <w:color w:val="3E3E3E"/>
          <w:spacing w:val="8"/>
          <w:sz w:val="24"/>
          <w:szCs w:val="24"/>
          <w:shd w:val="clear" w:fill="FFFFFF"/>
        </w:rPr>
        <w:t>，即上述部分优质高新技术企业，走进经验丰富、资源广阔和资金雄厚的加速器实现快速发展。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企业在加速器中，可以充分用好用足国家各种扶持政策，提供最有效的金融扶持和各种企业需要的资源，快速复制“1”，争取在三到五年内达到“10”，即达到年利润在1000万~2000万元。笔者认为，这个过程遇到合适的加速器，成功的概率要远远大于“0到1”的阶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i/>
          <w:caps w:val="0"/>
          <w:color w:val="FEFEFE"/>
          <w:spacing w:val="8"/>
          <w:sz w:val="24"/>
          <w:szCs w:val="24"/>
          <w:shd w:val="clear" w:fill="FF4C41"/>
        </w:rPr>
        <w:t>第三阶段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Style w:val="11"/>
          <w:rFonts w:hint="eastAsia" w:ascii="仿宋" w:hAnsi="仿宋" w:eastAsia="仿宋" w:cs="仿宋"/>
          <w:i w:val="0"/>
          <w:caps w:val="0"/>
          <w:color w:val="0052FF"/>
          <w:spacing w:val="8"/>
          <w:sz w:val="24"/>
          <w:szCs w:val="24"/>
          <w:shd w:val="clear" w:fill="FFFFFF"/>
        </w:rPr>
        <w:t>从10到100</w:t>
      </w:r>
      <w:r>
        <w:rPr>
          <w:rFonts w:hint="eastAsia" w:ascii="仿宋" w:hAnsi="仿宋" w:eastAsia="仿宋" w:cs="仿宋"/>
          <w:b w:val="0"/>
          <w:i w:val="0"/>
          <w:caps w:val="0"/>
          <w:color w:val="3E3E3E"/>
          <w:spacing w:val="8"/>
          <w:sz w:val="24"/>
          <w:szCs w:val="24"/>
          <w:shd w:val="clear" w:fill="FFFFFF"/>
        </w:rPr>
        <w:t>，即被上市公司并购，或新三板上市，或在资本（PE）的推动下做大做强业绩上市。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公司年利润达2000万元左右时，被上市公司并购的可能性非常大，融资也相对容易。为维持股价，上市公司也需不断收购同行业中的优质科技企业来构筑护城河，即所谓上市公司不是做大的，而是买大的。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仿宋" w:hAnsi="仿宋" w:eastAsia="仿宋" w:cs="仿宋"/>
          <w:b w:val="0"/>
          <w:i w:val="0"/>
          <w:caps w:val="0"/>
          <w:color w:val="3E3E3E"/>
          <w:spacing w:val="8"/>
          <w:sz w:val="24"/>
          <w:szCs w:val="24"/>
        </w:rPr>
      </w:pPr>
      <w:r>
        <w:rPr>
          <w:rFonts w:hint="eastAsia" w:ascii="仿宋" w:hAnsi="仿宋" w:eastAsia="仿宋" w:cs="仿宋"/>
          <w:b w:val="0"/>
          <w:i w:val="0"/>
          <w:caps w:val="0"/>
          <w:color w:val="3E3E3E"/>
          <w:spacing w:val="8"/>
          <w:sz w:val="24"/>
          <w:szCs w:val="24"/>
          <w:shd w:val="clear" w:fill="FFFFFF"/>
        </w:rPr>
        <w:t>如果一个好的科技成果最后变成资本市场的一部分，笔者认为转化是非常成功的，就是达到了所谓的“100”。（作者汪斌：北京高精尖科技开发院院长、研究员）</w:t>
      </w:r>
      <w:r>
        <w:rPr>
          <w:rFonts w:hint="eastAsia" w:ascii="仿宋" w:hAnsi="仿宋" w:eastAsia="仿宋" w:cs="仿宋"/>
          <w:b w:val="0"/>
          <w:bCs w:val="0"/>
          <w:i w:val="0"/>
          <w:caps w:val="0"/>
          <w:color w:val="auto"/>
          <w:spacing w:val="8"/>
          <w:sz w:val="24"/>
          <w:szCs w:val="24"/>
          <w:shd w:val="clear" w:fill="FFFFFF"/>
          <w:lang w:eastAsia="zh-CN"/>
        </w:rPr>
        <w:t>（管理学院翁景德院长提供）</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ind w:left="0" w:leftChars="0" w:firstLine="0" w:firstLineChars="0"/>
        <w:rPr>
          <w:rFonts w:hint="default" w:ascii="微软雅黑" w:hAnsi="微软雅黑" w:eastAsia="微软雅黑" w:cs="微软雅黑"/>
          <w:i w:val="0"/>
          <w:caps w:val="0"/>
          <w:color w:val="333333"/>
          <w:spacing w:val="8"/>
          <w:sz w:val="33"/>
          <w:szCs w:val="33"/>
          <w:shd w:val="clear" w:fill="FFFFFF"/>
          <w:lang w:val="en-US" w:eastAsia="zh-CN"/>
        </w:rPr>
      </w:pPr>
    </w:p>
    <w:p>
      <w:pPr>
        <w:jc w:val="center"/>
        <w:rPr>
          <w:rFonts w:hint="eastAsia" w:ascii="仿宋" w:hAnsi="仿宋" w:eastAsia="仿宋" w:cs="仿宋"/>
          <w:b/>
          <w:sz w:val="32"/>
          <w:szCs w:val="32"/>
        </w:rPr>
      </w:pPr>
      <w:r>
        <w:rPr>
          <w:rFonts w:hint="eastAsia" w:ascii="仿宋" w:hAnsi="仿宋" w:eastAsia="仿宋" w:cs="仿宋"/>
          <w:b/>
          <w:sz w:val="32"/>
          <w:szCs w:val="32"/>
        </w:rPr>
        <w:t>全球文化创意产业创新动态与中国借鉴</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4"/>
          <w:szCs w:val="24"/>
        </w:rPr>
      </w:pPr>
      <w:r>
        <w:rPr>
          <w:rFonts w:hint="eastAsia" w:ascii="仿宋" w:hAnsi="仿宋" w:eastAsia="仿宋" w:cs="仿宋"/>
          <w:sz w:val="24"/>
          <w:szCs w:val="24"/>
        </w:rPr>
        <w:t>葛 祥 艳   解 学 芳</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sz w:val="24"/>
          <w:szCs w:val="24"/>
        </w:rPr>
        <w:t>摘 要：创新是文化创意产业的核心与源泉，无形资产则能有效地将文化创意产业的创新优势转化为商业价值，以形成产业核心竞争力与保障产业可持续发展。2012—2016年全球文化创意产业上市公司无形资产总额不断增长，互联网文化行业无形资产异军突起，出版行业和广告业无形资产竞争力整体下滑。欧美文化创意产业发达国家的创新意识和无形资产重视程度较强，中国对无形资产重视程度与无形资产表现欠佳。鉴于此，中国应积极借鉴发达国家重视文化创意产业无形资产的发展经验，注重文化创意产业科技创新绩效与研发成果化，提供创新制度保障，不断提升中国文化产业国际影响力和竞争力。</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sz w:val="24"/>
          <w:szCs w:val="24"/>
        </w:rPr>
        <w:t>关键词：创新驱动；文化创意产业；上市公司；无形资产；绩效</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 世纪以来，新一轮科技加速发展并带动科技革命和产业变革，以创新驱动的经济转型成为国家经济发展的主流模式。美国提出先进制造伙伴计划、先进制造业国家战略计划，德国发布“工业4.0”战略，欧盟实施“欧洲2020 战略”……科技创新战略竞争在综合国力竞争中的地位日益重要。中国紧追时代发展潮流，2015 年印发了《国家创新驱动发展战略纲要》，明确提出将创新驱动发展作为国家优先战略，2017 年在十九大报告中再次强调 “创新是引领发展的第一动力”，号召通过创新驱动推动产业结构转型升级。在全球产业创新升级的背景下，文化创意产业在此次转型发展中脱颖而出。文化创意产业相对于其他产业，明显特点在于其持续的内容创新与创意，而创新成果转化及呈现最主要的载体就是无形资产。无形资产作为文化企业创新资源与创新能力的核心体现，其发展现状及存在问题对文化企业发展及投资决策具有重要参考价值，对整个行业和国家经济的发展具有重要意义。</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通过对 2012—2016 年全球文化创意产业上市公司无形资产 100 强的多维度分析与比较，彰显的是国家之间、企业之间、行业之间的文化创意产业实力之间的“较量”与创新力的比照，取长补短，为提升文化创意产业上市公司无形资产运营水平，充分发挥无形资产在推进文化创意产业结构调整和优化升级中不可替代的独特作用提供重要参考。</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一、创新驱动与文化创意产业无形资产的内在机理</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最早提出“创新驱动”概念的是迈克尔·波特( Michael E．Porter)，所谓创新驱动，是指企业利用知识、技术、企业组织制度和商业模式等创新要素对现有的资本、劳动力、物质资源等有形要素进行新组合，以创新的知识和技术改造物质资本、提高劳动者素质和科学管理水平。原先平淡无奇的要素经过新知识和新技术的“改造”，再次焕发出活力，成为企业内生性增长的重要力量，这便是“创新驱动力”。创新驱动力的形成一是原创性创新成果及其转化，二是产业创新，特别是处于该时代领先地位的新兴产业创新。文化创意产业在产业创新升级的过程中应运而生，是当下最受关注的新兴产业。创新是文化创意产业的核心与源泉，因而只有创新驱动力充足，文化创意产业才能在转变经济发展方式、调整产业结构上发挥重要作用。</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创新驱动力的作用下，企业产生一系列最新成果，而要想将这种优势转化为持续竞争优势，则需要依靠其所特有的、高附加值的、稀缺的、不可复制的异质性资源——无形资产，这是企业最根本的、最难以被替代和模仿的和最核心的竞争优势。2017 年 11 月 20 日，世界知识产权组织( WI-PO) 发布的《2017 世界知识产权报告》显示，全球销售的制成品近三分之一的价值源于品牌、外观设计和技术等无形资产。无形资产是全球价值链的核心所在，决定了产品的市场成功率，是企业在激烈的市场竞争中脱颖而出的决胜法宝，也是国家抢占发展先机的“秘密武器”。我国 2007 年 1月 1 日实行的新企业会计准则，将无形资产义为：“无形资产是指企业拥有或者控制的，没有实物形态的可辨认的非货币性资产。”从定义可知，无形资产对特定企业个体具有依附性，为企业独占或垄断性拥有；无形资产虽然具有实物形态，但在商业实务和经济实践中“存在”，享有法律或契约的保护。无形资产对重创意、轻资产的文化创意产业而言，意义更加不同。</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但是，在评价企业发展时，往往重视营收、纳税、就业人员等可见的经济指标，容易忽视构成企业整体价值的各类无形资产。伴随互联网时代的崛起，社会进入了一个无形资产是公司最大资产的时代。对于文化企业来说，无形资产比其他传统产业具有更重要的意义，主要在于文化本身就是一种无形的资产，基于文化而衍生的产业本身就离不开无形资产。再者，文化企业是以内容生产和传播为核心的生产组织，具有非物质价值属性的无形资产始终是文化企业拥有的主要资产形式和最主要的运营对象，要比其他产业更加受到重视和保护。因此，本文以全球文化创意产业上市公司无形资产100强为分析点，通过多维度的透视分析，了解文化企业发展经营状况，把脉发展过程中存在的问题，同时取长补短，为文化创意产业无形资产的开发提供一定的借鉴和启发。</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二、全球文化创意产业创新格局与动态：2012—2016 年</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无形资产是企业实现技术创新的核心体现，是企业形成竞争优势的重要源泉，对公司业务战略和价值创造至关重要。通过分析企业无形资产的现状和动态变化，可以推演出文化创意产业的行业发展状况和创新绩效。从全球文化创意产业上市公司无形资产数据来看，百强企业在国家分布、行业领域和无形资产实力方面具有明显的不均衡性。</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（一）总体态势：“头轻尾重”，技术创新是企业飞跃发展的关键从整体来看，2016 年全球文化创意产业上市公司无形资产100 强总值呈现先陡后缓的变化趋势，尾部企业数量多且无形资产总额集中。根据 100 强无形资产总额出现的三次明显落差变化，可将其划分为四个梯队。第一梯队被美国两家电视行业巨头——Comcast Corp 和 Charter Communica-tions Inc 占领，两家通过收购、合并、充足和投资等方式，无形资产如“滚雪球”一般，达到 7400 多亿元，其实力无人能及。第二梯队是排名第 3 至 17 的企业，无形资产总额在1000 ～ 4000 亿元之间，区间内的总额变化幅度较大，企业竞争格局进入“炽热化”，难分伯仲，如电影娱乐行业的 NBC U-niversal Media LLC、Time Warner Inc 和 Walt Disney Co(The) ，都在积极采取各种措施来不断壮大自身，齐头并进。剩下的“长尾巴”以第 50 名为“分水岭”，划为第三梯队和第四梯队。第三梯队无形资产总额在 390～1000 亿元，入围的企业依然是各个国家各个行业的龙头，比如第 18 名的 Vi-vendi 是法国排名第一的文化传媒集团，其业务范围涉及音乐、电视、电影、出版、电信、互联网和游戏等的巨型媒体跨国集团。此外还有第 22 名的英国 Sky PLC、第 32 名的日本 So-ny Corp、第 44 名的瑞典 Telefonaktiebolaget LM Ericsson 等，无论是在国内还是国际上，都有较大的影响力和竞争力。第四梯队内的无形资产总额在 340 亿元以下，聚集了 50 家企业，区间内数值变化幅度平缓，入围的企业所在国家依然是美、日、法等发达国家，发展中国家企业能够挤入其中的寥寥无几。总体来说，全球文化创意行业在无形资产上已形成寡头垄断企业，地位稳固，其所拥有的绝对性资源和优势难以企及； 然而百强企业“尾大不掉”，一半以上的文创上市公司无形资产总额较低，分布集中，且同质化严重，需要利用新技术、新思维纵深开发无形资产，实现无形资产价值的最大化。技术创新是企业实现突破的关键。在 2012—2016 年全球文化创意产业上市公司无形资产 100 强中，2013 年是波动变化最明显的一年，这一年的榜单中涌现出许多新的上市公司，30 强企业几乎重新“洗牌”，但是这些企业在百强榜单中也几乎都是昙花一现。一方面是因为 2012 年金融危机的波及，许多文企业放慢成长脚步甚至后退； 另一方面最主要的原因是一些文创企业具有果敢的创新精神和前瞻性眼光，积极进行技术创新和应用最新技术，因而在传统文创行业不景气的时候，这些企业凭借技术优势脱颖而出，如 2013 年的Hortonworks Inc、Holosfind 和 Serko Ltd 都应用技术对大数据进行云计算，来为客户提供最优解决方案的企业。之后随着其他文创企业元气恢复和大家争先抢占技术制高点，这些企业优势不再，也就淡出百强企业榜单。</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（二）国家实力对比：美英创新能力优势明显，中日韩遭遇瓶颈</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依托雄厚的经济实力、完备的体制和先进的技术，美、英、法等欧美发达国家的无形资产表现突出且稳定，以日本、韩国和中国为代表的亚洲国家任重道远，具体分析如下:</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其一，美国文产上市企业无形资产“一枝独秀”，文化霸主地位稳固。美国是世界上最早重视和开发无形资产的国家，无论是从学术理论研究还是制度上，都形成了完善的体系，为美国无形资产的开发创造了良好的外部环境。2012—2016 年，美国的文化创意产业上市公司跻身 100 强榜单的数量大致每年在 50 家左右，稳占半壁江山，除了 2013 年受金融危机影响上市公司入围数量有所下降之外。在 2016 年文化创意产业上市公司无形资产 100强中，美国毫无意外地占据最多席位，有 53 家成功入围，其中，第一、第二都花落美国，而前 10 强中 Comcast Corp、Charter Communications Inc、In-ternational Business Machines Corp、NBCUniversal Media LLC、Time Warner Inc、Walt Disney Co ( The) 、Liberty Expedia Hold-ings Inc、Liberty Media Corp – Consolidated 这 8 家都是美国企业，无形资产均值达到949.14 亿元，稳居第一。美国企业之所以表现突出，内在原因一方面是大部分的美国文化上市公司成立比较早，发展比较成熟，无形资产范围较广； 另一方面是美国许多文化上市公司规模较大，资金雄厚，有充足的条件进行研发投入来扩充无形资产。</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其二，“创意”成为英国无形资产发展的驱动力。英国最早提出文化创意产业理念，创意让古老的文化在新世纪再次焕发活力。这 5 年里，英国每年都有 10 家左右的企业入围100 强； 在 2016 年全球文化创意产业无形资产百强中，英国有 13 家企业跻身榜单，其中 Liberty Global Plc – Consolidated成功突围进入 10 强，Liberty Global Plc Global Group、ＲELXPLC、IHS Markit Ltd、Sky PLC 和 International Game Technology PLC 位列前 30 强，无形资产均值为 654. 59 亿元，仅次于美国。除了深厚的文化积累，英国文创产业无形资产的发展还得益于政策引领。如为持续性激励英国影视文化业的快速发展，英国 1950 年首次在全球制定并开征具有英联邦自身特色的“伊迪税”税种，这是世界上首次专门扶持创意产业发展的独特税，这也为英国电影产业发展与繁荣奠定了雄厚的经济基础。此外，英国不断加大对电影产业、电子游戏制造、剧院剧本创作等创意产业的税收扶持，一些世界级重大创意产业项目层出不穷。</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其三，加拿大无形资产表现稳定，法、德龙头企业国际竞争力还待提升。文化创意产业已经成为加拿大经济发展的关键元素，政府也采取了一系列财税政策来支持文化创意产业的发展，确保其持久、强劲的增长态势。在 2016 年 100 强排名中，加拿大有 9 家企业入围，其中 Thomson Ｒeuters 获得第 12 名的最好成绩，无形资产均值为 363． 25 亿元，总体发挥比较稳定。相比而言，2016 年法国和德国的无形资产均值达到 400 亿元以上，但入围的企业数量不及加拿大。纵观2012—2016 年入围百强的企业数量，法国文创上市公司数量呈逐年下降趋势，企业国际竞争力亟待提升； 德国文创上市公司表现稳定，每年有 4 家左右企业入围，但是能跻身前 30强的，每年只有 1 家( 2013 年为 0) ，并且排名靠后。因此法国和德国文化创意上市公司要担当起“龙头”的责任，高效整合产业链，带动更多的企业实现突破式发展。</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其四，中、日、韩各遇发展瓶颈，创新驱动是关键。中国、韩国和日本文化创意产业发展模式各有特色，但其目前都遇到发展瓶颈。日本 2012—2016 年文创上市公司入围百强榜单的数量较稳定，有 6 家左右( 2013 年除外) ，但是其挤入前30 强的企业数量在下降，2012 年有 3 家，2015 年仅剩一家，2016 年无缘前 30 强。韩国的文化创意产业在世界具有一定的知名度，但仅就无形资产而言，其国际竞争力明显不足，仅2013 年和 2016 年榜上有名，而 2016 年只有 Kakao Corp 这一家企业位于榜单，无形资产为212.6亿元，排名第 82 名，比较靠后。中国和日本无形资产均值旗鼓相当，皆为 330 多亿元，但中国文化上市公司数量和拟名成绩不如日本。2016 年中国有 3 家企业入围 100 强榜单，分别是携程、腾讯和百度，排名也比较靠后。综上可知，日本急需要培养世界级文创上市企业，韩国亟待提升无形资产国际竞争力，而中国的文化创意产业在国际上至今尚未形成自己鲜明独特的优势，更需要通过创新寻求发展道路。在新经济下，中日韩需要积极从技术创新、制度创新、管理创新和商业模式创新等着手，不断拓展思路，创新无形资产的运营方法和路径，进而充实、提高和扩大无形资产的内在价值，突破瓶颈，积极发挥在亚洲文化创意产业发展中的示范和带动作用。</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（三）行业分布特征：电视广播行业稳坐“老大”，电影娱乐、广告和出版行业竞争力退减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电视广播行业“风雨不动安如山”，无形资产实力雄厚。电视广播行业作为文化创意产业中发展历史最悠久的行业之一，虽然受到电信技术、互联网的冲击，但仍是当今社会最</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sz w:val="24"/>
          <w:szCs w:val="24"/>
        </w:rPr>
        <w:t>为强势的媒体，也是文化创意产业中无形资产最雄厚的行业。</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2012—2016 年，电视广播行业企业无疑是每年入围数量最多的，前 30 强中大概有 10 家企业属于电视广播行业。2016 年广播电台行业有 37 家，其中有 5 家企业跻身前 10强，分别是 Comcast、Charter Communications Inc、Altice NV、Liberty Global Plc – Consolidated、Liberty Media Corp – Con-solidated。该行业入围企业数量较多，一是因为其作为传统媒体，发展历史悠久，发展基础良好； 二是因为大部分属于政府所有或者归于大财团旗下，资源丰富、实力雄厚； 三是面对新媒体、新技术，电视广播在内容和传播渠道等方面不断进行创新，发展多元业务，积极打造多平台服务。如美国有线电视运营商 Comcast( 康卡斯特) 牢牢把握内容优势，通过加强内容建设、对有线电视进行宽带化改造、开发建立云平台、研发并不断升级机顶盒等多种方式，成为互联网时代重要内容及宽带网络运营商。同时，康卡斯特还通过合作、并购、投资等资本运作，不断扩大市场规模，实现资源的最大化利用，无形资产也得到大幅提升。</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互联网行业独特的优势在无形资产开发领域发挥着驱动和引领作用。互联网技术的成熟与应用，为无形资产的开发和内涵拓展带来了契机： 互联网技术的出现一方面为其提供更加便捷的技术支持，另一方面互联网技术演进和创新的过程也是技术类无形资产的诞生过程，同时也可以丰富无形资产内涵，拓展其外延。在 2016 年全球文化创意产业上市公司无形资产 100 强中，互联网行业的公司有 16 家，无形资产均值达到823.03亿元，仅次于电视广播行业。入围前 30强的 企 业 有 International Business Machines Corp、Thomson Ｒeuters Corp、Facebook Inc、Alphabet Inc 和 IHS Markit Ltd，中国只有百度一家互联网企业入围，排在 90 位，无形资产仅为183.88亿元，远远低于行业平均值。在互联网公司，无形资源决定着企业的核心竞争力、发展潜力。在科技高度发达的时代，技术更新较快，互联网企业应不断地进行新产品开发、产品更新升级等，才能持续满足顾客多样化的需求，保证市场竞争力的增长。而中国的上市互联网公司更应注重研发投入，把握核心竞争力，加强无形资产投资，以期为企业带来更多潜在收益。</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电影娱乐企业全 IP 产业链开发充分，无形资产表现良好。随着知识产权价值的日益凸显和“互联网 + ”思维的影响，IP（Intellectual Property，知识产权）资源在各个领域尤其是以内容创意为主的产业如文学、影视、动漫等的关注度持续升温。借助信息技术和高科技技术，电影产业与音乐、游戏、玩具等产业相互渗透、相互融合，IP 全产业链不断延伸，展如火如荼。2016 年全球文化创意产业上市公司无形资产 100 强中，电影娱乐行业有 10 家企业入围，其中 NBC Uni-versal Media LLC、Time Warner、Walt Disney Co ( The) 成功进入 10 强。这 3 家企业也是行业龙头，在 IP 无形资产深入挖掘上起到了良好的示范作用，如 Walt Disney Co ( The) 影视产业收益主要来自五个方面: 发行录像制品收益、电视播放收益、衍生产品收益、特许经营收益和主题公园增值收益等。但是，纵观这 5 年电影娱乐行业的表现，可以看到其在百强中的排名总体呈现下滑趋势：2012 年 Time Warner Inc夺得亚军的最好成绩，2014 年 Time Warner Inc 滑到第 4 名，2016 年 NBCUniversal Media LLC 取得最好成绩，但也只是第5 的名次。随着人们生活水平的提高，电影娱乐产业仍具有较大的成长空间，要继续不断创新发展出新业态、新模式、新产品，也能够加速电影娱乐行业的跨区域、跨界深度融合，深挖无形资产价值链。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出版行业和广告行业风光减退，数字时代是最坏的时代，也是最好的时代。2012—2016 年，出版行业和广告行业的最佳成绩都在呈下降趋势，广告行业下降幅度最明显:2012 年还是第9名，2016 年最好成绩就只有 28 名。数字技术的进步为广告行业注入新的发展动力，但技术只能提供成长的“营养”，还需要完善的制度提供持续健康成长的保障，如广告行业无形资产的评估指标。数字时代的到来，一家欢喜一家忧： 广告行业借助数字技术可以为消费者呈现更优的视觉体验，而数字阅读给传统的出版行业带来严重的打击。数字技术是灾难，也是机遇。一直作为全球出版行业龙头的英国 ＲELX PLC 践行将内容、数据、分析与技术手段在全球化平台上整合运用这一战略，开发创新型的解决方案，成功突破发展困境，发展比较稳定，在全球文创上市公司排名中也保持着前 20 强的良好成绩。</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三、中国借鉴全球文化创意产业创新的路径</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在以技术革新为主要特征的知识经济中，无形资产对文化企业业绩的贡献越来越显著，这就要求文化企业注重培养自身科技能力的同时，也要加强对无形资产的关注。通过对 2012—2016 年无形资产数据的深度分析可以发现，全球文化创意产业上市公司数量增长放缓，但无形资产无论是总额还是比重均在不断上升，说明全球文化创意产业上市公司对无形资产的重视度有所提升。欧美拥有较强的创新性、原创力和活力，无形资产实力无人能及。中国现阶段的文化创意产业发展虽已初具规模，但与欧美发达国家相比，文化产业标志性项目、精品工程以及外向型文化产品数量不足，无形资产开发程度较弱，国际影响力较低。鉴于此，中国文化企业的无形资产价值提升可从四个方面进行考虑：</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（一）积极向文化创意产业发达国家学习先进的无形资产开发经验</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文化创意产业发达国家历来重视无形资产的发展。美国是最早重视无形资产发展的国家，无形资产开发历史悠久，各项机制完善，为无形资产开发创立了良好的条件。意识先行政策和制度也紧随其后，发达国家采取包括税收政策在内的多种优惠政策来促进文化产业的发展，鼓励技术创新，如英国对本国生产的数字技术和动漫产品免征增值税，对网络游戏产品出口实行 50% 退税。当然，发达国家对知识产权的保护也非常完备，为无形资产的开发创立了良好的成长空间。</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此，中国无形资产的开发必须有健全的制度为其“保驾护航”，创立安全、健康的发展氛围。此外，无形资产发展良好的发达国家都有一个共同点，即拥有较强的创新意识和开拓精神，中国文化企业必须摆脱传统的制造业企业发展思维，运用新经济下的新思维来发展企业和开发无形资产。</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（二）推动科技创新与成果转化是提升文化创意产业创新力的关键</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文化创意产业上市公司是科技创新活动的主体，在营造创新创意生态中起着重要的作用。中国应跟踪最新文化产业领域的科技动态，特别是人工智能在文化创意产业领域的应用，例如以自然语言和图像图形为核心的认知计算技术、跨媒体感知计算，面向媒体智能感知的自主学习、混合增强智能与人机群组协同等，提升应用深度、拓展应用范围，作为未来文化创意产业无形资产，真正成为版权产业的抓手。此外，在创新驱动发展战略和知识产权强国战略的指引下，创新已成为这个时代的最强音，创新的过程中所衍生出来的科研创新、组织创新、市场创新、人才创新和财务创新，形成了现阶段无形资产的主要表现形式——创新资产，因此，要加快科技创新应用在文化创意产业领域的成果转化，使之转化为具有自主知识产权的文化品牌与创新资产。</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（三）优化文化创意产业创新与版权保护的政策法规是制度保障</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lang w:eastAsia="zh-CN"/>
        </w:rPr>
      </w:pPr>
      <w:r>
        <w:rPr>
          <w:rFonts w:hint="eastAsia" w:ascii="仿宋" w:hAnsi="仿宋" w:eastAsia="仿宋" w:cs="仿宋"/>
          <w:sz w:val="24"/>
          <w:szCs w:val="24"/>
        </w:rPr>
        <w:t>技术创新可以模仿学习，但版权保护制度方面要因地制宜，需要结合我国的国情和文化企业发展环境，使制度设计与版权生态相得益彰。首先，亟需完善文化创意产业知识产权政策法规，加快推动产业健康发展.日本早在 21 世纪初就颁布了《知识产权基本法》、《知识产权战略大纲》、《内容产业促进法》等，显然我国在知识产权保护力度方面还比较薄弱，正是因为“准绳”缺失，才导致侵权泛滥。其次，要鼓励文化创意产业科技创新与研发成果转化的政策出台，加快与优化文化创意成果转化流程，为文化企业自主研发提供激励机制与制度保障。再者，扶持政策要基于分类理念，分层差异化扶持，确保政策效果最大化。对于文创意产业上市公司而言，作为文化行业龙头，人力资本与财力资本以及无形资产积累较好，其发展定位侧重提升国内市场占有率、开拓国际文化市场，因此在政策设计上要倾向鼓励文化企业创新能力与竞争力提升以及“走出去”的扶持政策与优惠措施，不断提高我国文化创意企业的品牌影响力和国际竞争力。（ 摘自2018年10月《太原学院学报（社会科学版）》），作者：葛祥艳、解学芳，作者单位：上海同济大学）</w:t>
      </w:r>
      <w:r>
        <w:rPr>
          <w:rFonts w:hint="eastAsia" w:ascii="仿宋" w:hAnsi="仿宋" w:eastAsia="仿宋" w:cs="仿宋"/>
          <w:sz w:val="24"/>
          <w:szCs w:val="24"/>
          <w:lang w:eastAsia="zh-CN"/>
        </w:rPr>
        <w:t>（工商管理系蒋志丹老师提供）</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val="0"/>
        <w:snapToGrid w:val="0"/>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应用型高校打造“金课”要体现“七性”</w:t>
      </w:r>
    </w:p>
    <w:p>
      <w:pPr>
        <w:keepNext w:val="0"/>
        <w:keepLines w:val="0"/>
        <w:pageBreakBefore w:val="0"/>
        <w:widowControl w:val="0"/>
        <w:kinsoku/>
        <w:wordWrap/>
        <w:overflowPunct/>
        <w:topLinePunct w:val="0"/>
        <w:autoSpaceDE/>
        <w:autoSpaceDN/>
        <w:bidi w:val="0"/>
        <w:adjustRightInd w:val="0"/>
        <w:snapToGrid w:val="0"/>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rPr>
        <w:t>侯长林</w:t>
      </w:r>
    </w:p>
    <w:p>
      <w:pPr>
        <w:keepNext w:val="0"/>
        <w:keepLines w:val="0"/>
        <w:pageBreakBefore w:val="0"/>
        <w:widowControl w:val="0"/>
        <w:kinsoku/>
        <w:wordWrap/>
        <w:overflowPunct/>
        <w:topLinePunct w:val="0"/>
        <w:autoSpaceDE/>
        <w:autoSpaceDN/>
        <w:bidi w:val="0"/>
        <w:adjustRightInd w:val="0"/>
        <w:snapToGrid w:val="0"/>
        <w:ind w:firstLine="480" w:firstLineChars="200"/>
        <w:jc w:val="center"/>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摘 要：如何打造高校的“金课”已成为社会关注的热点。 应用型高校“金课”的打造至少要体现“七性”：一是教育性。 教学的教育性是应用型高校必须遵循的教学规律。 二是实用性。 应用型人才服务社会离不开实用性知识和技术。三是丰富性。大学是知识的宇宙，知识的丰富性也是应用型高校的重要的特征。四是前沿性。 应用型创新型人才的培养需要在课堂教学中传授相关学科的前沿性知识和技术。  五是思辩性。培养思辨性思维能力是应用型高校课堂教学的重要特征和基本要求。六是研究性。应用型高校的课堂教学  应该也是一个艰辛的学术研究的过程。 七是艺术性。  应用型高校课堂教学要努力将创造性、审美性和情感性融于一体，体现艺术价值。</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关键词：应用型高校；金课；实用性；丰富性；前沿性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如何抓本科的课堂教学？ 陈宝生部长说得好： 就是要“真正把‘水课’变成有深度、有难度、有挑战度的‘金课’。 ”只要“水课”都变成了“金课”，何愁本科教育变不成一流？ 那么，如何打造应用型高校的“金课”？ 应用型高校尤其是正在朝应用方向转型发展的新建本科高校，由于升本时间短，积累积淀少，相对于研究型高校而言，其“水课”存在的面积更大，只不过其“水课”产生的根源主要不是教师精力投入不足而是不知道何为大学“金课”，及其教师本身的教学水平等问题。 笔者以为，应用型高校课堂教学要想把“水课”变成“金课”，至少要体现“七性”，即教育性、实用性、丰富性、前沿性、思辩性、研究性和艺术性。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一、应用型高校课堂教学要体现教育性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我国应用型高校的课堂教学，均不同程度地存  在重知识或技术的传授、轻教育的问题。   要解决这个问题，就需要增强教学的教育性，形成教学全方 位育人的格局。德国教育家赫尔巴特指出：“我不承认有任何‘无教育的教学’”，即教学的教育性是一种客观存在。  前苏联休金娜则进一步指出：“教学的教育性是一种在任何时代和任何条件下都会表现出来的客观规律性。 ”这就是说， 教学的教育性不仅客观存在，而且是我们必须遵循的教学规律。教学的教育性既然是我们必须遵循的教学规律， 当然也是应用型高校教学的基本规律。因此，应用型高校重视教学的教育性也就成了必然的价值选择和应有的行为导向。高素质应用型人才要能够适应并很好地服务社会，除了需要掌握其社会岗位必须具备的相关知识或技术外，首先需要学会做一个合格的社会人。 要成为合格的社会人，就需要强化教学的教育性。虽然高校教学的教育性内涵十分丰富，包含的内容很多很广，但思想政治教育始终是主体，因此，实施思想政治教育的思政课程和课程思政就是高校教学教育性的重要体现。增强应用型高校课堂教学体现教育性的策略有以下几点：一是做好应用型高校提升课堂教学教育性的统筹规划；二是制定应用型高校课堂教学教育性的标准；三是提升其他公共课和专业课教师育人的意识与能力。 应用型高校要想增强其教学的教育性， 教师是关键。 教师的问题解决不了，就等于空谈。再好的设想，都需要教师去完成。 所以，应用型高校所有教师育人的意识和能力都需要提升，但重点是其他公共课和专业课教师。</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二、应用型高校课堂教学要体现实用性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应用型高校的课堂教学之所以要体现实用性， 是由应用型高校的基本性质决定的。世界高等教育发展到 1904 年范·海斯担任美国威斯康辛大学校长时期，随着“为州服务”办学理念的提出，大学社会服务的职能应运而生。要服务社会必然要培养应用型人才，要培养应用型人才就需要重视应用型高校的建设，即应用型高校是因培养应用型人才而产生的。 在我国，首先出现的应用型高校类型是应用技术大学，其次，是教学服务型大学。这是应用型高校的又一类型。 无论是应用技术大学，还是教学服务型大学，其根本的共同的属性，就是应用性，即应用型高校的基本性质是应用的，比如培养应用型人才、建设应用性学科、打造应用型文化，等等。 尽管应用型高校的应用性体现在学校的方方面面，但是最根本的还是要通过对应用型人才的培养来实现其应用性。而应用型人才培养的主渠道就是课堂教学。如果作为人才培养主渠道的课堂教学所讲授的知识不实用， 这样的高校也就不成其为应用型高校。因此，在课堂教学中体现实用性，是应用型高校首要的也是最基本的要求。</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我国正在朝应用型方向转型发展的本科高校， 在应用型课程建设方面已经作了很多有益的探索， 尤其是各省（直辖市、自治区）明确为应用转型试点的本科高校多数都在应用型课程改革方面已经有了实质性进展。 日本、新加坡等国家都非常重视大学课程设置的实用性，认为实用性才能使高等教育更好地服务社会。 我们认为，传授实用性知识不是一般应用型高校的独特要求，研究型高校包括世界一流的研究型高校也同样如此，比如澳大利亚堪培拉大学副校长李荣誉在接受我国青年报记者采访时非常肯定地说道：“一流大学所传授的知识必须有实用性；所培训的技能必须有实用性。 ”世界一流大学尚且如此，一般应用型高校更应该加强应用型课程建设，努力在课堂教学中体现实用性。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三、应用型高校课堂教学要体现丰富性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大学与中小学比，知识的丰富性是其重要特征。德国哲学家教育家雅斯贝尔斯说得好：大学是“知识的宇宙。”我们知道，“宇宙”是无边无际、无始无终的。因此，大学是“知识的宇宙”，其意义就是指大学虽然是有围墙的，但是其中所包含的知识既是无边无际的，比如陆地的知识、海洋的知识、天空的知识甚至整个宇宙的知识，也是无始无终的，比如古代的知识、近代的知识、现代的知识，乃至未来的知识等，无所不包，总之，只要是知识都可以纳入大学并融入大学知识的整体之中。 由此可见，大学的知识是丰富多姿多彩的，应用型高校在知识的拥有方面虽然不能与研究型大学比，但是应用型高校也属于大学的范畴，知识的丰富性，同样是其重要的特征， 只是更加偏重于应用性知识及技术罢了。</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英国高等教育理论家纽曼在他的《大学的理想》一书的开篇演讲中就指出：大学“是一个传授普遍知识的地方。 ”也就是说，大学不仅是一个知识贮存丰富的地方，还是一个以传授普遍知识为己任的地方。 在信息闭塞的年代，教师仅仅围绕课本进行教学，信息量少，尚能应付，但是在历史已经发展到高度信息化的今天，学生能够通过各种渠道很便捷地获取有关课堂教学内容的大量信息，若教师还只是照本宣科，学生不玩手机、不打瞌睡才怪呢？ 当代大学生对课堂学习的积极性不够，诚然有学生自身的原因，但是根源在教师，在于教师课堂教学的“水分”太多。 因此，为了提高课堂教学的吸引力，应用型高校教师必须尽可能增大课堂教学的信息量，尤其是增加学生不易查找到的信息。 所以，应用型高校课堂教学内容的选择应该是 “以若干本教材作参考， 在学科的范围内纵横驰骋， 编写讲义进行教学”，才能体现课堂教学内容的丰富性。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四、应用型高校课堂教学要体现前沿性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作为应用型高校课堂教学仅仅体现知识的丰富 性还不够，还要体现前沿性。因为高校是追求真理、研究高深学问的地方，其“‘高深’不仅体现在知识的专业性层面，而且反应在知识的前沿性方面。 ”同时，高校更是培养创新型人才的摇篮。 应用型高校同研究型高校一样都要培养创新型人才，其差异在于：研究型高校重在培养理论型创新型人才，应用型高校重在培养应用型创新型人才。不管是理论型创新型人才的培养，还是应用型创新型人才的培养， 都需要在课堂教学中传授相关学科前沿性的知识，并且应用型高校都有责任建立确保教师能够将各专业学科的前沿知识成果纳入到课程内容中的制度和机制，以此“展现当前社会、科技发展的面貌，使培养的人才始终处在社会和科技发展的最前列”。要在课堂上传授前沿性的知识，就需要教师经常阅读相关学科前沿性的文献资料，并不断将其添加到自己的讲义中去。一本讲义讲一辈子的时代已经过去，甚至一本讲义一年不更新就已经落后。 所以， 优秀的教师一般是不使用自己出版的教材，而使用不断更新的讲义。新加坡南洋理工学院不允许教师使用已经出版的教材，每一个走上讲台的教师都必须自己编写讲义。因为只有使用不断更新的讲义，才能保证教师不断传授前沿性的知识。因此，教师应该尽可能选用自己开发的教材，尤其是一些应用学科其技术性知识在当今时代可谓日新月异，关注新技术已经成为应用型高校教师的职责和使命。</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五、应用型高校课堂教学要体现思辩性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虽然中小学的课堂教学也要对学生进行思辨性思维能力的训练， 但不是其课堂教学的主要任务，然而大学课堂教学则不同，可以说不管何种类型的大学，包括应用型高校其课堂教学都需要强化学生思辨性思维能力的训练。所谓思辨，顾名思义， 就是指思考与辨别。 思考是基础和前提，辨别是在思考基础上的辨别，是思考后的反思，以及反思后的思考,其中包含接受与批判两个方面，并且批判所占的比重较大，因而有学者也就把思辨性思维看成是批判性思维。 当然，批判性思维不完全等同于思辨性思维，但是批判性思维是思辨性思维的主要方面。 所以，培养学生的思辨性思维首先还是要抓好批判性思维的培养和训练。 1998 年，联合国教科文组织在《21 世纪的高等教育：观念与行动》的报告中就已经明确提出：“高校必须培养学生能够批判性思考和分析社会问题，寻求问题解决方案。 ”培养学生批判性思维的理念在美国已经根深蒂固，每一所大学都非常重视学生批判性思维能力的培养。 斯坦福大学还“开设专门的批判性思维能力课程——有效思考，并且在各学科教学过程中强化批判性思维训练。 ”欧洲等国家的高等教育界也非常重视学生批判性思维能力的培养。 德国的马丁·布伯认为，教师“最有价值的教学绝非使学生通过机械式的方式积累知识，而是使个体形成建设性的批判思维”。</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我国对批判性思维的研究起步较晚， 直到在20 世纪末至 21 世纪初才开始有关于这方面的论文出现，并且其内容多是对西方思辨能力理论和实践的介绍。不过，近年来，大学生思辨能力的培养在我国教育界开始引起人们的重视和关注。可能有人会产生这样的疑问：应用型高校需要培养这种批判性思维能力吗？ 批判性思维能力不是研究型高校的“专利”，恰恰相反，应用型高校还要加强对学生批判性思维能力的培养。因为一个没有批判性思维能力的应用型人才不可能成为一流的应用型人才。也就是说，一流的应用型人才一定是具有一定批判性思维能力的人。因此，应用型高校要想打造“金课”， 其课堂教学一定要努力体现思辨性包括批判性。这是应用型高校课堂教学的基本要求。</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六、应用型高校课堂教学要体现研究性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大学课堂之大，要体现对高深学问的传授。 不传授高深学问还叫什么大学课堂？ 而高深学问的传授是建立在对高深学问研究的基础之上的，即连何   谓高深学问都不知道， 哪来高深学问传授给学生？ 因此，大学课堂教学的重要特征之一就是高度和深   度。应用型高校同样如此。教学作为学术活动，最重要的是要“使教学工作对于教师而言，具有与科研 同等性质的活动，一种指向于未知的探究活动。  这种活动，简言之，就是使教学上升为教研，上升为科研。 ”[13]这是大学课堂教学体现研究性的首要任务。美国著名高等教育家、时任卡内基教学促进会主席   的博耶在其《学术反思：教授工作的重点》一书中曾经建议：将学术分为研究学术、整合学术、应用学术与教学学术四种相对独立但又相互交叉联系的学术形式。 既然课堂教学本身就属于学术的范畴，理当引起应用型高校教师的高度重视并将其列为提高课堂教学学术性的首选工作。</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课堂教学体现研究性的另一重要方式，就是提倡教师要进行与课程所涉及的专业领域有关的科学研究。不进行与课程所涉及的专业领域有关的科学研究，要想把大学课堂教学工作做好，要想成为  一个优秀的大学教师，那是不可能的。  雅斯贝尔斯说得好：“没有人能够不亲身参与到科学研究中去 而能真正在大学里面教育好学生。”所以，他认为，优秀的应用型高校教师应该同时是一个优秀的研究者，“只有自己从事研究的人才有东西教别人, 而一般的教书匠只能传授僵硬的东西。 ”也许有人会问：应用型高校的课堂教学也应该体现研究性吗？ 回答是肯定的。 应用型高校也是高校，也要“从事社会发展与科技应用等方面的研究。 ”应用转型的高校不论是技术类或是综合类，也不论是以什么学科为主，科学研究都是其重要的工作，如果放弃科学研究，其学术根基就会动摇甚至漂移。 一个没有学术根基的大学还谈什么高深的课堂教学？我们知道，学科建设及科学研究是大学的根本，其实这些也是应用型高校的根本。</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七、应用型高校课堂教学要体现艺术性</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教学既是科学也是艺术。 但遗憾的是，关于教学艺术的讨论主要集中在中小学，而应用型高校对增强课堂教学艺术性普遍重视不够。 在西方，对课堂教学艺术的研究有着悠久的历史。其源头可以追溯到古希腊时期苏格拉底的“助产术”。但是最先使用“教学艺术”一词的则是德国教育家和教学法革新家拉特克。他曾在培根思想影响下“发现了根据天性而实施的教学艺术”， 创建了他的关于教学原理的理论。我国对教学艺术虽然可以追溯到《学记》，但是在学理上，教学艺术并没有成为一个自觉的理论范畴，因而关于教学艺术的研究只能从近现代算起。教学艺术特征主要包括创造性、审美性和情感性。因此，所谓教学艺术就是指在教学过程中所体现出的具有创造性、审美性和情感性的教学活动。 没有创造性的教学不是艺术，但仅仅具有创造性，没有审美追求和情感参与的，也算不上艺术。所以，真正的教学艺术应该是指创造性、审美性和情感性三方面都有所体现并有机结合的课堂教学活动。增强应用型高校课堂教学艺术性的策略有下面几点：一是提高对应用型高校课堂教学艺术的认识；二是处理好应用型课堂教学科学性与艺术性的关系；三是加强应用型高校课堂教学艺术性的研究。</w:t>
      </w: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（公共管理系</w:t>
      </w:r>
      <w:r>
        <w:rPr>
          <w:rFonts w:hint="eastAsia" w:ascii="仿宋" w:hAnsi="仿宋" w:eastAsia="仿宋" w:cs="仿宋"/>
          <w:sz w:val="24"/>
          <w:szCs w:val="24"/>
          <w:lang w:val="en-US" w:eastAsia="zh-CN"/>
        </w:rPr>
        <w:t>侯冬梅老师提供</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val="0"/>
        <w:snapToGrid w:val="0"/>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337" w:firstLineChars="100"/>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管理学领域综述类论文怎么写？这篇文章说的透彻！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330" w:afterAutospacing="0" w:line="360" w:lineRule="auto"/>
        <w:ind w:left="0" w:right="0" w:firstLine="0"/>
        <w:jc w:val="left"/>
        <w:textAlignment w:val="auto"/>
        <w:rPr>
          <w:rFonts w:hint="eastAsia" w:ascii="仿宋" w:hAnsi="仿宋" w:eastAsia="仿宋" w:cs="仿宋"/>
          <w:b w:val="0"/>
          <w:i w:val="0"/>
          <w:caps w:val="0"/>
          <w:color w:val="333333"/>
          <w:spacing w:val="8"/>
          <w:sz w:val="24"/>
          <w:szCs w:val="24"/>
        </w:rPr>
      </w:pPr>
      <w:r>
        <w:rPr>
          <w:rFonts w:hint="eastAsia" w:ascii="仿宋" w:hAnsi="仿宋" w:eastAsia="仿宋" w:cs="仿宋"/>
          <w:b w:val="0"/>
          <w:i w:val="0"/>
          <w:caps w:val="0"/>
          <w:color w:val="576B95"/>
          <w:spacing w:val="8"/>
          <w:kern w:val="0"/>
          <w:sz w:val="24"/>
          <w:szCs w:val="24"/>
          <w:u w:val="none"/>
          <w:shd w:val="clear" w:fill="FFFFFF"/>
          <w:lang w:val="en-US" w:eastAsia="zh-CN" w:bidi="ar"/>
        </w:rPr>
        <w:fldChar w:fldCharType="begin"/>
      </w:r>
      <w:r>
        <w:rPr>
          <w:rFonts w:hint="eastAsia" w:ascii="仿宋" w:hAnsi="仿宋" w:eastAsia="仿宋" w:cs="仿宋"/>
          <w:b w:val="0"/>
          <w:i w:val="0"/>
          <w:caps w:val="0"/>
          <w:color w:val="576B95"/>
          <w:spacing w:val="8"/>
          <w:kern w:val="0"/>
          <w:sz w:val="24"/>
          <w:szCs w:val="24"/>
          <w:u w:val="none"/>
          <w:shd w:val="clear" w:fill="FFFFFF"/>
          <w:lang w:val="en-US" w:eastAsia="zh-CN" w:bidi="ar"/>
        </w:rPr>
        <w:instrText xml:space="preserve"> HYPERLINK "https://mp.weixin.qq.com/javascript:void(0);" </w:instrText>
      </w:r>
      <w:r>
        <w:rPr>
          <w:rFonts w:hint="eastAsia" w:ascii="仿宋" w:hAnsi="仿宋" w:eastAsia="仿宋" w:cs="仿宋"/>
          <w:b w:val="0"/>
          <w:i w:val="0"/>
          <w:caps w:val="0"/>
          <w:color w:val="576B95"/>
          <w:spacing w:val="8"/>
          <w:kern w:val="0"/>
          <w:sz w:val="24"/>
          <w:szCs w:val="24"/>
          <w:u w:val="none"/>
          <w:shd w:val="clear" w:fill="FFFFFF"/>
          <w:lang w:val="en-US" w:eastAsia="zh-CN" w:bidi="ar"/>
        </w:rPr>
        <w:fldChar w:fldCharType="separate"/>
      </w:r>
      <w:r>
        <w:rPr>
          <w:rStyle w:val="13"/>
          <w:rFonts w:hint="eastAsia" w:ascii="仿宋" w:hAnsi="仿宋" w:eastAsia="仿宋" w:cs="仿宋"/>
          <w:b w:val="0"/>
          <w:i w:val="0"/>
          <w:caps w:val="0"/>
          <w:color w:val="576B95"/>
          <w:spacing w:val="8"/>
          <w:sz w:val="24"/>
          <w:szCs w:val="24"/>
          <w:u w:val="none"/>
          <w:shd w:val="clear" w:fill="FFFFFF"/>
        </w:rPr>
        <w:t>经管学苑</w:t>
      </w:r>
      <w:r>
        <w:rPr>
          <w:rFonts w:hint="eastAsia" w:ascii="仿宋" w:hAnsi="仿宋" w:eastAsia="仿宋" w:cs="仿宋"/>
          <w:b w:val="0"/>
          <w:i w:val="0"/>
          <w:caps w:val="0"/>
          <w:color w:val="576B95"/>
          <w:spacing w:val="8"/>
          <w:kern w:val="0"/>
          <w:sz w:val="24"/>
          <w:szCs w:val="24"/>
          <w:u w:val="none"/>
          <w:shd w:val="clear" w:fill="FFFFFF"/>
          <w:lang w:val="en-US" w:eastAsia="zh-CN" w:bidi="ar"/>
        </w:rPr>
        <w:fldChar w:fldCharType="end"/>
      </w:r>
      <w:r>
        <w:rPr>
          <w:rFonts w:hint="eastAsia" w:ascii="仿宋" w:hAnsi="仿宋" w:eastAsia="仿宋" w:cs="仿宋"/>
          <w:b w:val="0"/>
          <w:i w:val="0"/>
          <w:caps w:val="0"/>
          <w:color w:val="333333"/>
          <w:spacing w:val="8"/>
          <w:kern w:val="0"/>
          <w:sz w:val="24"/>
          <w:szCs w:val="24"/>
          <w:shd w:val="clear" w:fill="FFFFFF"/>
          <w:lang w:val="en-US" w:eastAsia="zh-CN" w:bidi="ar"/>
        </w:rPr>
        <w:t> </w:t>
      </w:r>
      <w:r>
        <w:rPr>
          <w:rStyle w:val="12"/>
          <w:rFonts w:hint="eastAsia" w:ascii="仿宋" w:hAnsi="仿宋" w:eastAsia="仿宋" w:cs="仿宋"/>
          <w:b w:val="0"/>
          <w:i w:val="0"/>
          <w:caps w:val="0"/>
          <w:color w:val="333333"/>
          <w:spacing w:val="8"/>
          <w:kern w:val="0"/>
          <w:sz w:val="24"/>
          <w:szCs w:val="24"/>
          <w:shd w:val="clear" w:fill="FFFFFF"/>
          <w:lang w:val="en-US" w:eastAsia="zh-CN" w:bidi="ar"/>
        </w:rPr>
        <w:t>3月14日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2816" w:firstLineChars="1100"/>
        <w:jc w:val="both"/>
        <w:textAlignment w:val="auto"/>
        <w:rPr>
          <w:rFonts w:hint="eastAsia" w:ascii="仿宋" w:hAnsi="仿宋" w:eastAsia="仿宋" w:cs="仿宋"/>
          <w:sz w:val="24"/>
          <w:szCs w:val="24"/>
        </w:rPr>
      </w:pPr>
      <w:r>
        <w:rPr>
          <w:rFonts w:hint="eastAsia" w:ascii="仿宋" w:hAnsi="仿宋" w:eastAsia="仿宋" w:cs="仿宋"/>
          <w:b w:val="0"/>
          <w:i w:val="0"/>
          <w:caps w:val="0"/>
          <w:color w:val="333333"/>
          <w:spacing w:val="8"/>
          <w:sz w:val="24"/>
          <w:szCs w:val="24"/>
          <w:shd w:val="clear" w:fill="FFFFFF"/>
        </w:rPr>
        <w:t>01</w:t>
      </w:r>
      <w:r>
        <w:rPr>
          <w:rStyle w:val="11"/>
          <w:rFonts w:hint="eastAsia" w:ascii="仿宋" w:hAnsi="仿宋" w:eastAsia="仿宋" w:cs="仿宋"/>
          <w:i w:val="0"/>
          <w:caps w:val="0"/>
          <w:color w:val="27408B"/>
          <w:spacing w:val="15"/>
          <w:sz w:val="24"/>
          <w:szCs w:val="24"/>
          <w:shd w:val="clear" w:fill="FFFFFF"/>
        </w:rPr>
        <w:t>引言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b w:val="0"/>
          <w:bCs/>
          <w:sz w:val="24"/>
          <w:szCs w:val="24"/>
        </w:rPr>
      </w:pPr>
      <w:r>
        <w:rPr>
          <w:rStyle w:val="11"/>
          <w:rFonts w:hint="eastAsia" w:ascii="仿宋" w:hAnsi="仿宋" w:eastAsia="仿宋" w:cs="仿宋"/>
          <w:b w:val="0"/>
          <w:bCs/>
          <w:i w:val="0"/>
          <w:caps w:val="0"/>
          <w:color w:val="626262"/>
          <w:spacing w:val="15"/>
          <w:sz w:val="24"/>
          <w:szCs w:val="24"/>
          <w:shd w:val="clear" w:fill="FFFFFF"/>
        </w:rPr>
        <w:t>不管是哪种学科的哪种研究，文献综述必不可少。</w:t>
      </w:r>
      <w:r>
        <w:rPr>
          <w:rFonts w:hint="eastAsia" w:ascii="仿宋" w:hAnsi="仿宋" w:eastAsia="仿宋" w:cs="仿宋"/>
          <w:b w:val="0"/>
          <w:i w:val="0"/>
          <w:caps w:val="0"/>
          <w:color w:val="626262"/>
          <w:spacing w:val="15"/>
          <w:sz w:val="24"/>
          <w:szCs w:val="24"/>
          <w:shd w:val="clear" w:fill="FFFFFF"/>
        </w:rPr>
        <w:t>文献综述具有承上启下的作用，是学术研究和学术论文写作的一个重要环节。通过文献综述，我们可以了解相关领域的研究现状，在前人研究的基础上确定自己要研究的问题，避免不必要的重复并能够有所创新，为科学知识的积累做出自己的贡献。虽然文献综述工作非常重要，但目前与方法论有关的、讨论如何撰写文献综述类文章的管理学著述并不多见。而且，大多数学校的方法论课程也很少谈及这方面的内容。</w:t>
      </w:r>
      <w:r>
        <w:rPr>
          <w:rStyle w:val="11"/>
          <w:rFonts w:hint="eastAsia" w:ascii="仿宋" w:hAnsi="仿宋" w:eastAsia="仿宋" w:cs="仿宋"/>
          <w:b w:val="0"/>
          <w:bCs/>
          <w:i w:val="0"/>
          <w:caps w:val="0"/>
          <w:color w:val="626262"/>
          <w:spacing w:val="15"/>
          <w:sz w:val="24"/>
          <w:szCs w:val="24"/>
          <w:shd w:val="clear" w:fill="FFFFFF"/>
        </w:rPr>
        <w:t>因此，我们不揣冒昧，把自己写作管理学文献综述类文章的一些体会拿出来与大家探讨。</w:t>
      </w:r>
      <w:r>
        <w:rPr>
          <w:rFonts w:hint="eastAsia" w:ascii="仿宋" w:hAnsi="仿宋" w:eastAsia="仿宋" w:cs="仿宋"/>
          <w:b w:val="0"/>
          <w:bCs/>
          <w:i w:val="0"/>
          <w:caps w:val="0"/>
          <w:color w:val="626262"/>
          <w:spacing w:val="15"/>
          <w:sz w:val="24"/>
          <w:szCs w:val="24"/>
          <w:shd w:val="clear" w:fill="FFFFFF"/>
        </w:rPr>
        <w:t>我们的所言大多为不成熟的浅见，难免挂一漏万，请各位大家指正。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Style w:val="11"/>
          <w:rFonts w:hint="eastAsia" w:ascii="仿宋" w:hAnsi="仿宋" w:eastAsia="仿宋" w:cs="仿宋"/>
          <w:b w:val="0"/>
          <w:bCs/>
          <w:i w:val="0"/>
          <w:caps w:val="0"/>
          <w:color w:val="626262"/>
          <w:spacing w:val="15"/>
          <w:sz w:val="24"/>
          <w:szCs w:val="24"/>
          <w:shd w:val="clear" w:fill="FFFFFF"/>
        </w:rPr>
        <w:t>本文的主要读者应该是高等院校和科研机构的管理学在读研究生。</w:t>
      </w:r>
      <w:r>
        <w:rPr>
          <w:rFonts w:hint="eastAsia" w:ascii="仿宋" w:hAnsi="仿宋" w:eastAsia="仿宋" w:cs="仿宋"/>
          <w:b w:val="0"/>
          <w:bCs/>
          <w:i w:val="0"/>
          <w:caps w:val="0"/>
          <w:color w:val="626262"/>
          <w:spacing w:val="15"/>
          <w:sz w:val="24"/>
          <w:szCs w:val="24"/>
          <w:shd w:val="clear" w:fill="FFFFFF"/>
        </w:rPr>
        <w:t>事实上，本文的雏形就是我们为指导自己的研</w:t>
      </w:r>
      <w:r>
        <w:rPr>
          <w:rFonts w:hint="eastAsia" w:ascii="仿宋" w:hAnsi="仿宋" w:eastAsia="仿宋" w:cs="仿宋"/>
          <w:b w:val="0"/>
          <w:i w:val="0"/>
          <w:caps w:val="0"/>
          <w:color w:val="626262"/>
          <w:spacing w:val="15"/>
          <w:sz w:val="24"/>
          <w:szCs w:val="24"/>
          <w:shd w:val="clear" w:fill="FFFFFF"/>
        </w:rPr>
        <w:t>究生写作文献综述类文章而拟定的要点和建议，其中的很多内容又来自于我们在研究生学习期间老师对我们的指导。我们希望我们的体会能够对正在撰写或将要撰写文献综述类文章的研究生有所帮助。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b w:val="0"/>
          <w:i w:val="0"/>
          <w:caps w:val="0"/>
          <w:color w:val="626262"/>
          <w:spacing w:val="15"/>
          <w:sz w:val="24"/>
          <w:szCs w:val="24"/>
          <w:shd w:val="clear" w:fill="FFFFFF"/>
          <w:lang w:eastAsia="zh-CN"/>
        </w:rPr>
      </w:pPr>
      <w:r>
        <w:rPr>
          <w:rStyle w:val="11"/>
          <w:rFonts w:hint="eastAsia" w:ascii="仿宋" w:hAnsi="仿宋" w:eastAsia="仿宋" w:cs="仿宋"/>
          <w:b w:val="0"/>
          <w:bCs/>
          <w:i w:val="0"/>
          <w:caps w:val="0"/>
          <w:color w:val="626262"/>
          <w:spacing w:val="15"/>
          <w:sz w:val="24"/>
          <w:szCs w:val="24"/>
          <w:shd w:val="clear" w:fill="FFFFFF"/>
        </w:rPr>
        <w:t>本文的结构安排如下:</w:t>
      </w:r>
      <w:r>
        <w:rPr>
          <w:rFonts w:hint="eastAsia" w:ascii="仿宋" w:hAnsi="仿宋" w:eastAsia="仿宋" w:cs="仿宋"/>
          <w:b w:val="0"/>
          <w:i w:val="0"/>
          <w:caps w:val="0"/>
          <w:color w:val="626262"/>
          <w:spacing w:val="15"/>
          <w:sz w:val="24"/>
          <w:szCs w:val="24"/>
          <w:shd w:val="clear" w:fill="FFFFFF"/>
        </w:rPr>
        <w:t>第二节简要描述文献综述的目的；第三节介绍六种查找文献的方法；第四节是对阅读文献三个层次的说明；第五节探讨了文献综述类文章的不同结构安排；第六节针对研究生提出了写作文献综述类文章的五点建议</w:t>
      </w:r>
      <w:r>
        <w:rPr>
          <w:rFonts w:hint="eastAsia" w:ascii="仿宋" w:hAnsi="仿宋" w:eastAsia="仿宋" w:cs="仿宋"/>
          <w:b w:val="0"/>
          <w:i w:val="0"/>
          <w:caps w:val="0"/>
          <w:color w:val="626262"/>
          <w:spacing w:val="15"/>
          <w:sz w:val="24"/>
          <w:szCs w:val="24"/>
          <w:shd w:val="clear" w:fill="FFFFFF"/>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b w:val="0"/>
          <w:i w:val="0"/>
          <w:caps w:val="0"/>
          <w:color w:val="626262"/>
          <w:spacing w:val="15"/>
          <w:sz w:val="24"/>
          <w:szCs w:val="24"/>
          <w:shd w:val="clear" w:fill="FFFFFF"/>
          <w:lang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3072" w:firstLineChars="1200"/>
        <w:jc w:val="both"/>
        <w:textAlignment w:val="auto"/>
        <w:rPr>
          <w:rFonts w:hint="eastAsia" w:ascii="仿宋" w:hAnsi="仿宋" w:eastAsia="仿宋" w:cs="仿宋"/>
          <w:sz w:val="24"/>
          <w:szCs w:val="24"/>
        </w:rPr>
      </w:pPr>
      <w:r>
        <w:rPr>
          <w:rFonts w:hint="eastAsia" w:ascii="仿宋" w:hAnsi="仿宋" w:eastAsia="仿宋" w:cs="仿宋"/>
          <w:b w:val="0"/>
          <w:i w:val="0"/>
          <w:caps w:val="0"/>
          <w:color w:val="333333"/>
          <w:spacing w:val="8"/>
          <w:sz w:val="24"/>
          <w:szCs w:val="24"/>
          <w:shd w:val="clear" w:fill="FFFFFF"/>
        </w:rPr>
        <w:t>02</w:t>
      </w:r>
      <w:r>
        <w:rPr>
          <w:rStyle w:val="11"/>
          <w:rFonts w:hint="eastAsia" w:ascii="仿宋" w:hAnsi="仿宋" w:eastAsia="仿宋" w:cs="仿宋"/>
          <w:i w:val="0"/>
          <w:caps w:val="0"/>
          <w:color w:val="27408B"/>
          <w:spacing w:val="15"/>
          <w:sz w:val="24"/>
          <w:szCs w:val="24"/>
          <w:shd w:val="clear" w:fill="FFFFFF"/>
        </w:rPr>
        <w:t>文献综述的目的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240" w:firstLine="54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i w:val="0"/>
          <w:caps w:val="0"/>
          <w:color w:val="626262"/>
          <w:spacing w:val="15"/>
          <w:sz w:val="24"/>
          <w:szCs w:val="24"/>
          <w:shd w:val="clear" w:fill="FFFFFF"/>
        </w:rPr>
        <w:t>任何研究都不是凭空产生的，而是在前人研究的基础上从某个方面进行深化，都具有一定的传承性</w:t>
      </w:r>
      <w:r>
        <w:rPr>
          <w:rFonts w:hint="eastAsia" w:ascii="仿宋" w:hAnsi="仿宋" w:eastAsia="仿宋" w:cs="仿宋"/>
          <w:b w:val="0"/>
          <w:bCs w:val="0"/>
          <w:i w:val="0"/>
          <w:caps w:val="0"/>
          <w:color w:val="626262"/>
          <w:spacing w:val="15"/>
          <w:sz w:val="24"/>
          <w:szCs w:val="24"/>
          <w:shd w:val="clear" w:fill="FFFFFF"/>
        </w:rPr>
        <w:t>。</w:t>
      </w:r>
      <w:r>
        <w:rPr>
          <w:rStyle w:val="11"/>
          <w:rFonts w:hint="eastAsia" w:ascii="仿宋" w:hAnsi="仿宋" w:eastAsia="仿宋" w:cs="仿宋"/>
          <w:b w:val="0"/>
          <w:bCs w:val="0"/>
          <w:i w:val="0"/>
          <w:caps w:val="0"/>
          <w:color w:val="626262"/>
          <w:spacing w:val="15"/>
          <w:sz w:val="24"/>
          <w:szCs w:val="24"/>
          <w:shd w:val="clear" w:fill="FFFFFF"/>
        </w:rPr>
        <w:t>因此，文献综述是研究的第一步，其目的在于了解前人说过些什么，而这实际上也决定了我们能够说些什么。具体地，对于要研究的问题，我们必须弄清:</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1.前人是否说过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要知道前人是否说过，关键是要进行充分的文献检索。互联网的出现以及在线数据库的广泛应用为文献检索提供了前所未有的方便。目前，各大专院校和科研机构的图书馆都购买了非常齐全的中、英文数据库。只要数据库覆盖面合理并使用得当，我们足不出户就能查到几乎所有所需的文献，省却了上世纪做研究非跑大图书馆不可的麻烦。目前，国内高校图书馆中的Jstor、Science Direct、CN KI等都是极佳的在线数据库。如果文献搜索结果表明自己拟做的研究别人已经做过，那么就没有必要做无为的重复，而应该及时调整自己的思路，改换研究角度、重点或方法。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2.前人说过什么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要想知道前人说过什么，就必须解答以下几个问题。首先是前人研究的对象或问题是什么(what)、前人是如何(how)阐述研究问题的以及为什么(why)这样阐述；然后是前人观点的异同点是什么，这些观点是否可以分类、如何分类，观点之间的前后时间关系和逻辑关系是什么。搞清楚别人是否说过、说了什么，是我们进行学术创新的重要基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3.前人是怎么说的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在文献综述时不仅要综述观点，还要综述研究方法(即别人是怎么说的)。方法的发展和进步会在很多方面改变已有的观点。例如，产业组织理论中博弈论研究分析方法的引入就改变了SCP框架下产生的很多观点。随着数据获取途径的增多和获取技术的改进，总的来说，针对某一研究对象所使用的研究方法会越来越多。因此，当我们发现某类文献主要以使用某一种或某几种研究方法为主，而对其他研究方法应用较少时，就应该考虑能否采用其他方法特别是比较新的研究方法，以便通过方法创新来实现观点创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4.何人、何时、何地说过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这组问题主要反映相关观点演化过程的影响因素，包括观点在不同地域、不同时间上的变化。例如，总体上看，受社会经济发展阶段性以及文化差异性的影响，不同国家、不同时期的消费者对服务质量的要求会出现较大的差异，并且在很大程度上影响消费者对服务质量的感知及满意度。另外，了解“是谁说的”，对于我们认识相关观点的产生和发展过程也有帮助。例如，战略管理研究定位学派的“五力模型”是波特于1979年提出的，当我们知道波特是哈佛商学院和哈佛经济系联合培养的博士之后，就能更好地理解这一模型与哈佛老一代经济学家提出的SCP框架之间的传承关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Style w:val="11"/>
          <w:rFonts w:hint="eastAsia" w:ascii="仿宋" w:hAnsi="仿宋" w:eastAsia="仿宋" w:cs="仿宋"/>
          <w:b w:val="0"/>
          <w:bCs/>
          <w:i w:val="0"/>
          <w:caps w:val="0"/>
          <w:color w:val="626262"/>
          <w:spacing w:val="15"/>
          <w:sz w:val="24"/>
          <w:szCs w:val="24"/>
          <w:shd w:val="clear" w:fill="FFFFFF"/>
        </w:rPr>
        <w:t>实际上，如果我们能够在文献综述的过程中回答好以上四个方面的问题，那么就可以基本确定我们要做的研究或要写的论文的创新点、主要思路和拟采用的方法</w:t>
      </w:r>
      <w:r>
        <w:rPr>
          <w:rStyle w:val="11"/>
          <w:rFonts w:hint="eastAsia" w:ascii="仿宋" w:hAnsi="仿宋" w:eastAsia="仿宋" w:cs="仿宋"/>
          <w:i w:val="0"/>
          <w:caps w:val="0"/>
          <w:color w:val="626262"/>
          <w:spacing w:val="15"/>
          <w:sz w:val="24"/>
          <w:szCs w:val="24"/>
          <w:shd w:val="clear" w:fill="FFFFFF"/>
        </w:rPr>
        <w:t>。</w:t>
      </w:r>
      <w:r>
        <w:rPr>
          <w:rFonts w:hint="eastAsia" w:ascii="仿宋" w:hAnsi="仿宋" w:eastAsia="仿宋" w:cs="仿宋"/>
          <w:b w:val="0"/>
          <w:i w:val="0"/>
          <w:caps w:val="0"/>
          <w:color w:val="626262"/>
          <w:spacing w:val="15"/>
          <w:sz w:val="24"/>
          <w:szCs w:val="24"/>
          <w:shd w:val="clear" w:fill="FFFFFF"/>
        </w:rPr>
        <w:t>可以说，做好文献综述，研究工作就完成了一大半，剩下的问卷设计、实地调查、数据分析、论文写作等工作便水到渠成。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2816" w:firstLineChars="1100"/>
        <w:jc w:val="both"/>
        <w:textAlignment w:val="auto"/>
        <w:rPr>
          <w:rFonts w:hint="eastAsia" w:ascii="仿宋" w:hAnsi="仿宋" w:eastAsia="仿宋" w:cs="仿宋"/>
          <w:sz w:val="24"/>
          <w:szCs w:val="24"/>
        </w:rPr>
      </w:pPr>
      <w:r>
        <w:rPr>
          <w:rFonts w:hint="eastAsia" w:ascii="仿宋" w:hAnsi="仿宋" w:eastAsia="仿宋" w:cs="仿宋"/>
          <w:b w:val="0"/>
          <w:i w:val="0"/>
          <w:caps w:val="0"/>
          <w:color w:val="333333"/>
          <w:spacing w:val="8"/>
          <w:sz w:val="24"/>
          <w:szCs w:val="24"/>
          <w:shd w:val="clear" w:fill="FFFFFF"/>
        </w:rPr>
        <w:t>03</w:t>
      </w:r>
      <w:r>
        <w:rPr>
          <w:rStyle w:val="11"/>
          <w:rFonts w:hint="eastAsia" w:ascii="仿宋" w:hAnsi="仿宋" w:eastAsia="仿宋" w:cs="仿宋"/>
          <w:i w:val="0"/>
          <w:caps w:val="0"/>
          <w:color w:val="27408B"/>
          <w:spacing w:val="15"/>
          <w:sz w:val="24"/>
          <w:szCs w:val="24"/>
          <w:shd w:val="clear" w:fill="FFFFFF"/>
        </w:rPr>
        <w:t>如何寻找代表性文献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Style w:val="11"/>
          <w:rFonts w:hint="eastAsia" w:ascii="仿宋" w:hAnsi="仿宋" w:eastAsia="仿宋" w:cs="仿宋"/>
          <w:b w:val="0"/>
          <w:bCs/>
          <w:i w:val="0"/>
          <w:caps w:val="0"/>
          <w:color w:val="626262"/>
          <w:spacing w:val="15"/>
          <w:sz w:val="24"/>
          <w:szCs w:val="24"/>
          <w:shd w:val="clear" w:fill="FFFFFF"/>
        </w:rPr>
        <w:t>文献综述的第一步是查找文献，也就是搜集要综述的素材。</w:t>
      </w:r>
      <w:r>
        <w:rPr>
          <w:rFonts w:hint="eastAsia" w:ascii="仿宋" w:hAnsi="仿宋" w:eastAsia="仿宋" w:cs="仿宋"/>
          <w:b w:val="0"/>
          <w:i w:val="0"/>
          <w:caps w:val="0"/>
          <w:color w:val="626262"/>
          <w:spacing w:val="15"/>
          <w:sz w:val="24"/>
          <w:szCs w:val="24"/>
          <w:shd w:val="clear" w:fill="FFFFFF"/>
        </w:rPr>
        <w:t>一种常用的方法是直接进入各种数据库(如CNKI、Science Direct、Ebsco、Emerald)，在“文章标题、关键词和摘要”这一搜索项中填入搜索信息(如在中文数据库中填入“服务质量和满意度”或在英文数据库中填入“service quality and satisfaction”)，再执行搜索命令。然而，在国、内外各种刊物层出不穷、文章不胜其数的情况下，我们很可能搜索到多达数百篇有时甚至上千篇的相关文献，以至于无从着手阅读、分析。</w:t>
      </w:r>
      <w:r>
        <w:rPr>
          <w:rStyle w:val="11"/>
          <w:rFonts w:hint="eastAsia" w:ascii="仿宋" w:hAnsi="仿宋" w:eastAsia="仿宋" w:cs="仿宋"/>
          <w:b w:val="0"/>
          <w:bCs/>
          <w:i w:val="0"/>
          <w:caps w:val="0"/>
          <w:color w:val="626262"/>
          <w:spacing w:val="15"/>
          <w:sz w:val="24"/>
          <w:szCs w:val="24"/>
          <w:shd w:val="clear" w:fill="FFFFFF"/>
        </w:rPr>
        <w:t>我们建议首先应该重点搜集和阅读有代表性的文献，特别是对相关研究产生重大影响的种子论文(seminal paper)，然后再搜集和阅读次要一些的文献。那么，如何查找代表性文献呢?请教导师当然是最简单、有效的途径。</w:t>
      </w:r>
      <w:r>
        <w:rPr>
          <w:rFonts w:hint="eastAsia" w:ascii="仿宋" w:hAnsi="仿宋" w:eastAsia="仿宋" w:cs="仿宋"/>
          <w:b w:val="0"/>
          <w:i w:val="0"/>
          <w:caps w:val="0"/>
          <w:color w:val="626262"/>
          <w:spacing w:val="15"/>
          <w:sz w:val="24"/>
          <w:szCs w:val="24"/>
          <w:shd w:val="clear" w:fill="FFFFFF"/>
        </w:rPr>
        <w:t>但也有一些时候，我们拟综述的主题并非导师擅长的研究领域，导师可能无法提供主要文献阅读清单。如果遇到这种情况，</w:t>
      </w:r>
      <w:r>
        <w:rPr>
          <w:rStyle w:val="11"/>
          <w:rFonts w:hint="eastAsia" w:ascii="仿宋" w:hAnsi="仿宋" w:eastAsia="仿宋" w:cs="仿宋"/>
          <w:b w:val="0"/>
          <w:bCs/>
          <w:i w:val="0"/>
          <w:caps w:val="0"/>
          <w:color w:val="626262"/>
          <w:spacing w:val="15"/>
          <w:sz w:val="24"/>
          <w:szCs w:val="24"/>
          <w:shd w:val="clear" w:fill="FFFFFF"/>
        </w:rPr>
        <w:t>我们建议采用下面一些方法。</w:t>
      </w:r>
    </w:p>
    <w:p>
      <w:pPr>
        <w:pStyle w:val="8"/>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首先查找并阅读发表在一流刊物上的文章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240" w:rightChars="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每个学科都有自己的刊物分级和排名，要重点查阅排名靠前的刊物所刊载的文献。例如，管理学排名靠前的英文期刊(根据不同的评价标准，具体排名可能有所不同)有Administrative Science Quarterly、Academy of Management Journal、Journal of Applied Psychology、Organizational Behavior and Human Decision Process、Strategic Management Journal、Academy of Management Review；而国内排名比较靠前的管理学期刊则包括《管理世界》、《中国软科学》、《外国经济与管理》、《南开管理评论》和《管理科学学报》等。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2.查找权威教科书及其提到的某领域的经典文献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一般来说，我们所研究的问题大多可以在教科书中找到相应的章节。若能找到权威的教科书，就可以从相应的章节中找到这些教科书作者所引用的文献，这些文献往往也是对于相关学科发展较为重要的文献。若能找到最新版本的教科书，那么效果就更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3.查找学术权威发表的研究成果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与其他学科一样，国内、外管理学各领域都有若干重要的学术权威，如服务质量管理领域中的“PZB”(即服务质量研究领域的三位著名学者Parasuraman、Zeithaml和Berry，他们三人各自或合作发表了大量重要的原创论文)。这些重要学者的文章往往也是我们在前面提到的种子论文，开创了某一研究领域并长期影响相关领域的发展。因此，根据时间顺序阅读这些学术权威的文献会对我们了解和分析相关领域学术研究的演化发展过程大有帮助。若能找到并认真阅读这些学术权威亲自撰写的关于相关研究领域发展历史的述评文章，那么，我们就能更加清晰地了解相关领域不同学术观点的产生和发展过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4.寻找名校、名师研究型课程的教学大纲(syllabus)</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国内、外著名大学的研究型课程(主要指硕士和博士研究生课程，很多以“seminar”的形式出现)中会列出每个研究领域的重要文献，供学生阅读和讨论。当然，不同教师的取舍有所不同，文献清单也会出现一定的差异。我们可以多参考几个同名课程的大纲，以避免偏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5.到图书馆或从数据库中查看以“handbook”为名的论文集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国外出版社(如在出版学术期刊和著作方面比较有名的Blackwell、John Wiley and Sons和Elsevier)经常召集业内专家编著一些综合体现学科发展状况的工具书性质的论文集，如《Handbook of Econometrics》、《The Blackwell Handbook of Strategic Management》、《Handbook of Industrial Organization》等。这些论文集中的论文大多以综述本学科某个研究领域的学术进展为主要目的，作者都是相关研究领域的权威。阅读此类手册收入的论文可以迅速掌握相关领域最重要的学术进展状况。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6.利用“Google Scholar”</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目前，互联网在学术研究中发挥着越来越大的作用，为我们提供了很多方便。除了正式数据库之外，谷歌搜索引擎中的“Google Scholar”也是一个搜索某一研究领域代表性学者及经典文献的好帮手。在“Google Scholar”中输入相关研究对象的关键词，执行搜索命令后所列出的文献是按被引用次数来排名的，因此，各相关文献的重要性一目了然。更重要的是，我们还可以通过搜索结果的链接找到引用了相关文献的所有论文，从而为我们提供一种以时间顺序考察学术发展及文献间相互关系的好办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在综合采用以上方法以后，我们基本上能找到所有的代表性文献。</w:t>
      </w:r>
      <w:r>
        <w:rPr>
          <w:rStyle w:val="11"/>
          <w:rFonts w:hint="eastAsia" w:ascii="仿宋" w:hAnsi="仿宋" w:eastAsia="仿宋" w:cs="仿宋"/>
          <w:b w:val="0"/>
          <w:bCs/>
          <w:i w:val="0"/>
          <w:caps w:val="0"/>
          <w:color w:val="626262"/>
          <w:spacing w:val="15"/>
          <w:sz w:val="24"/>
          <w:szCs w:val="24"/>
          <w:shd w:val="clear" w:fill="FFFFFF"/>
        </w:rPr>
        <w:t>接下来，我们还应该查找较多的次要文献。</w:t>
      </w:r>
      <w:r>
        <w:rPr>
          <w:rFonts w:hint="eastAsia" w:ascii="仿宋" w:hAnsi="仿宋" w:eastAsia="仿宋" w:cs="仿宋"/>
          <w:b w:val="0"/>
          <w:i w:val="0"/>
          <w:caps w:val="0"/>
          <w:color w:val="626262"/>
          <w:spacing w:val="15"/>
          <w:sz w:val="24"/>
          <w:szCs w:val="24"/>
          <w:shd w:val="clear" w:fill="FFFFFF"/>
        </w:rPr>
        <w:t>尽管这些文献的引用率并不太高、学术贡献也不会太大，但它们仍能从某一方面深化相关理论体系，因此有必要在我们的文献综述中交代它们的贡献。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最后必须指出的是，在我们搜集文献的过程中，肯定会发现一些现成的、与我们要写的文章相似的综述文章。我们可以借鉴这些文章的内容(最重要的是这些文章的参考文献清单)来缩短我们搜集、理解和阅读原始文献的过程，</w:t>
      </w:r>
      <w:r>
        <w:rPr>
          <w:rStyle w:val="11"/>
          <w:rFonts w:hint="eastAsia" w:ascii="仿宋" w:hAnsi="仿宋" w:eastAsia="仿宋" w:cs="仿宋"/>
          <w:b w:val="0"/>
          <w:bCs/>
          <w:i w:val="0"/>
          <w:caps w:val="0"/>
          <w:color w:val="626262"/>
          <w:spacing w:val="15"/>
          <w:sz w:val="24"/>
          <w:szCs w:val="24"/>
          <w:shd w:val="clear" w:fill="FFFFFF"/>
        </w:rPr>
        <w:t>但切不可如获至宝，投机取巧地照抄这些现成的综述文章，</w:t>
      </w:r>
      <w:r>
        <w:rPr>
          <w:rFonts w:hint="eastAsia" w:ascii="仿宋" w:hAnsi="仿宋" w:eastAsia="仿宋" w:cs="仿宋"/>
          <w:b w:val="0"/>
          <w:i w:val="0"/>
          <w:caps w:val="0"/>
          <w:color w:val="626262"/>
          <w:spacing w:val="15"/>
          <w:sz w:val="24"/>
          <w:szCs w:val="24"/>
          <w:shd w:val="clear" w:fill="FFFFFF"/>
        </w:rPr>
        <w:t>而根本不看原始文献，这是目前错讹屡屡出现的根源，也违背了学术研究求真务实的精神。</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3072" w:firstLineChars="1200"/>
        <w:jc w:val="both"/>
        <w:textAlignment w:val="auto"/>
        <w:rPr>
          <w:rFonts w:hint="eastAsia" w:ascii="仿宋" w:hAnsi="仿宋" w:eastAsia="仿宋" w:cs="仿宋"/>
          <w:sz w:val="24"/>
          <w:szCs w:val="24"/>
        </w:rPr>
      </w:pPr>
      <w:r>
        <w:rPr>
          <w:rFonts w:hint="eastAsia" w:ascii="仿宋" w:hAnsi="仿宋" w:eastAsia="仿宋" w:cs="仿宋"/>
          <w:b w:val="0"/>
          <w:i w:val="0"/>
          <w:caps w:val="0"/>
          <w:color w:val="333333"/>
          <w:spacing w:val="8"/>
          <w:sz w:val="24"/>
          <w:szCs w:val="24"/>
          <w:shd w:val="clear" w:fill="FFFFFF"/>
        </w:rPr>
        <w:t>04</w:t>
      </w:r>
      <w:r>
        <w:rPr>
          <w:rStyle w:val="11"/>
          <w:rFonts w:hint="eastAsia" w:ascii="仿宋" w:hAnsi="仿宋" w:eastAsia="仿宋" w:cs="仿宋"/>
          <w:i w:val="0"/>
          <w:caps w:val="0"/>
          <w:color w:val="27408B"/>
          <w:spacing w:val="15"/>
          <w:sz w:val="24"/>
          <w:szCs w:val="24"/>
          <w:shd w:val="clear" w:fill="FFFFFF"/>
        </w:rPr>
        <w:t>怎样阅读文献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完成了资料搜集工作，我们手头可能掌握了数百篇文献，一字一句地读完这么多的文献不但不可能，也没有必要。</w:t>
      </w:r>
      <w:r>
        <w:rPr>
          <w:rStyle w:val="11"/>
          <w:rFonts w:hint="eastAsia" w:ascii="仿宋" w:hAnsi="仿宋" w:eastAsia="仿宋" w:cs="仿宋"/>
          <w:i w:val="0"/>
          <w:caps w:val="0"/>
          <w:color w:val="626262"/>
          <w:spacing w:val="15"/>
          <w:sz w:val="24"/>
          <w:szCs w:val="24"/>
          <w:shd w:val="clear" w:fill="FFFFFF"/>
        </w:rPr>
        <w:t>我们建议应该根据文献的贡献大小，采用不同的方法来阅读。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1.读摘要(abstract)和结论(conclusion)</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很多经验研究文献有较大的重复性，量表、研究方法都没有改进或改进较少，写作的主要目的是测试不同情境下的理论适用性，有时结论大同小异。对于这类学术价值不大的文献，读摘要和结论即可。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2.读摘要、引言(introduction)、发现(findings)和结论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大部分文献在方法、模型构建或者样本选择方面会有一些独到之处。对于这些文献，应该认真阅读介绍文章主要贡献的摘要、引言、发现和结论四个部分。在阅读过程中，要重点思考文章的创新之处与我们自己的综述对象之间的关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3.通读全文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上述两种方法主要用来阅读次要文献。对于我们在前面提及的代表性文献，就应该认真阅读全文，包括引言、方法(methodology)、数据(data)、发现、结论各个部分。这类文献通常是经典文献，有时字字珠玑，需要认真体会、揣摩作者的观点及其提出的过程。这样的文献读几个小时甚至几天都是应该的。在以后阅读次要文献时，还应该不时与代表性文献进行对照。</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Style w:val="11"/>
          <w:rFonts w:hint="eastAsia" w:ascii="仿宋" w:hAnsi="仿宋" w:eastAsia="仿宋" w:cs="仿宋"/>
          <w:b w:val="0"/>
          <w:bCs/>
          <w:i w:val="0"/>
          <w:caps w:val="0"/>
          <w:color w:val="626262"/>
          <w:spacing w:val="15"/>
          <w:sz w:val="24"/>
          <w:szCs w:val="24"/>
          <w:shd w:val="clear" w:fill="FFFFFF"/>
        </w:rPr>
        <w:t>打个比方可以说明上述两类文献的关系。</w:t>
      </w:r>
      <w:r>
        <w:rPr>
          <w:rFonts w:hint="eastAsia" w:ascii="仿宋" w:hAnsi="仿宋" w:eastAsia="仿宋" w:cs="仿宋"/>
          <w:b w:val="0"/>
          <w:i w:val="0"/>
          <w:caps w:val="0"/>
          <w:color w:val="626262"/>
          <w:spacing w:val="15"/>
          <w:sz w:val="24"/>
          <w:szCs w:val="24"/>
          <w:shd w:val="clear" w:fill="FFFFFF"/>
        </w:rPr>
        <w:t>代表性或重要文献展示相关研究领域大致的发展方向和脉络，是人体的骨骼；而次要文献则是对重要文献提出的问题进行更多视角、更多方向、更多层次的挖掘和补充，它们是人体的血肉。可以说，在代表性文献的基础上，那些不那么经典、重要的文献能帮助我们把综述类文章写得更加全面、充实。</w:t>
      </w:r>
      <w:r>
        <w:rPr>
          <w:rStyle w:val="11"/>
          <w:rFonts w:hint="eastAsia" w:ascii="仿宋" w:hAnsi="仿宋" w:eastAsia="仿宋" w:cs="仿宋"/>
          <w:b w:val="0"/>
          <w:bCs/>
          <w:i w:val="0"/>
          <w:caps w:val="0"/>
          <w:color w:val="626262"/>
          <w:spacing w:val="15"/>
          <w:sz w:val="24"/>
          <w:szCs w:val="24"/>
          <w:shd w:val="clear" w:fill="FFFFFF"/>
        </w:rPr>
        <w:t>因此，我们不应低估次要文献的综述价值。</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Style w:val="11"/>
          <w:rFonts w:hint="eastAsia" w:ascii="仿宋" w:hAnsi="仿宋" w:eastAsia="仿宋" w:cs="仿宋"/>
          <w:b w:val="0"/>
          <w:bCs/>
          <w:i w:val="0"/>
          <w:caps w:val="0"/>
          <w:color w:val="626262"/>
          <w:spacing w:val="15"/>
          <w:sz w:val="24"/>
          <w:szCs w:val="24"/>
          <w:shd w:val="clear" w:fill="FFFFFF"/>
        </w:rPr>
        <w:t>无论采用哪种阅读方法，在阅读文献时应该做好读书笔记，</w:t>
      </w:r>
      <w:r>
        <w:rPr>
          <w:rFonts w:hint="eastAsia" w:ascii="仿宋" w:hAnsi="仿宋" w:eastAsia="仿宋" w:cs="仿宋"/>
          <w:b w:val="0"/>
          <w:i w:val="0"/>
          <w:caps w:val="0"/>
          <w:color w:val="626262"/>
          <w:spacing w:val="15"/>
          <w:sz w:val="24"/>
          <w:szCs w:val="24"/>
          <w:shd w:val="clear" w:fill="FFFFFF"/>
        </w:rPr>
        <w:t>把篇名、作者、出处、发表时间、页码等信息记录下来(建议在这一阶段就开始使用Endnote等文献管理软件，可以大大提高工作效率)。笔记应包括以下两方面的内容:一是对文章观点、方法等方面的总结，二是自己的感受和思考。读完足够多的文献，在对笔记进行分类、汇总、分析、删减和组合以后就可以得到文献综述的基本素材，并且能够列出相应的参考文献。不做笔记，就不可能高效率地写好文献综述类文章，而且还会平添成文后整理参考文献的烦恼，对此不可小视。根据我们的经验，写一篇1万字的文献综述，应该做二三万字的笔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2560" w:firstLineChars="1000"/>
        <w:jc w:val="both"/>
        <w:textAlignment w:val="auto"/>
        <w:rPr>
          <w:rFonts w:hint="eastAsia" w:ascii="仿宋" w:hAnsi="仿宋" w:eastAsia="仿宋" w:cs="仿宋"/>
          <w:sz w:val="24"/>
          <w:szCs w:val="24"/>
          <w:lang w:val="en-US" w:eastAsia="zh-CN"/>
        </w:rPr>
      </w:pPr>
      <w:r>
        <w:rPr>
          <w:rFonts w:hint="eastAsia" w:ascii="仿宋" w:hAnsi="仿宋" w:eastAsia="仿宋" w:cs="仿宋"/>
          <w:b w:val="0"/>
          <w:i w:val="0"/>
          <w:caps w:val="0"/>
          <w:color w:val="333333"/>
          <w:spacing w:val="8"/>
          <w:sz w:val="24"/>
          <w:szCs w:val="24"/>
          <w:shd w:val="clear" w:fill="FFFFFF"/>
        </w:rPr>
        <w:t>05</w:t>
      </w:r>
      <w:r>
        <w:rPr>
          <w:rStyle w:val="11"/>
          <w:rFonts w:hint="eastAsia" w:ascii="仿宋" w:hAnsi="仿宋" w:eastAsia="仿宋" w:cs="仿宋"/>
          <w:i w:val="0"/>
          <w:caps w:val="0"/>
          <w:color w:val="27408B"/>
          <w:spacing w:val="15"/>
          <w:sz w:val="24"/>
          <w:szCs w:val="24"/>
          <w:shd w:val="clear" w:fill="FFFFFF"/>
        </w:rPr>
        <w:t>文献综述的几种结构安排</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在读完文献并完成笔记整理工作以后，就可以开始考虑从什么角度撰写文献综述，也就是考虑文献综述的结构。不像研究论文，综述性文章并没有固定的结构安排要求，但这并不表明综述文章的结构安排无规律可循。一般来说，我们可以从以下方法中选择一种。</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1.按照综述对象的不同构成部分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这种类型的综述对象一般是某个研究领域及其组成部分。例如，Porter在综述有关产业组织理论的经验研究时，就把文献综述的主体分成生产、技术和产业结构，不完全竞争市场计量分析，进入、退出与产业演进，规制产业研究，拍卖市场，技术变化、创新与组织等六个部分，它们涵盖了产业组织研究的主要内容。Shelanski和Klein在综述交易费用经济学时按照交易紧密程度把相关文献分为纵向一体化、复杂缔约及“混合”模式、长期契约、非正式协议、特许经营协议等五个部分。再如，H annafey在综述企业家与伦理问题时也把相关研究分为与企业家本人有关的伦理问题、与组织和环境有关的伦理问题、与创业过程相关的伦理问题等三个部分。</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leftChars="0" w:right="240" w:rightChars="0" w:firstLine="542" w:firstLineChars="200"/>
        <w:jc w:val="both"/>
        <w:textAlignment w:val="auto"/>
        <w:rPr>
          <w:rStyle w:val="11"/>
          <w:rFonts w:hint="eastAsia" w:ascii="仿宋" w:hAnsi="仿宋" w:eastAsia="仿宋" w:cs="仿宋"/>
          <w:i w:val="0"/>
          <w:caps w:val="0"/>
          <w:color w:val="27408B"/>
          <w:spacing w:val="15"/>
          <w:sz w:val="24"/>
          <w:szCs w:val="24"/>
          <w:shd w:val="clear" w:fill="FFFFFF"/>
        </w:rPr>
      </w:pPr>
      <w:r>
        <w:rPr>
          <w:rStyle w:val="11"/>
          <w:rFonts w:hint="eastAsia" w:ascii="仿宋" w:hAnsi="仿宋" w:eastAsia="仿宋" w:cs="仿宋"/>
          <w:i w:val="0"/>
          <w:caps w:val="0"/>
          <w:color w:val="27408B"/>
          <w:spacing w:val="15"/>
          <w:sz w:val="24"/>
          <w:szCs w:val="24"/>
          <w:shd w:val="clear" w:fill="FFFFFF"/>
          <w:lang w:val="en-US" w:eastAsia="zh-CN"/>
        </w:rPr>
        <w:t>2.</w:t>
      </w:r>
      <w:r>
        <w:rPr>
          <w:rStyle w:val="11"/>
          <w:rFonts w:hint="eastAsia" w:ascii="仿宋" w:hAnsi="仿宋" w:eastAsia="仿宋" w:cs="仿宋"/>
          <w:i w:val="0"/>
          <w:caps w:val="0"/>
          <w:color w:val="27408B"/>
          <w:spacing w:val="15"/>
          <w:sz w:val="24"/>
          <w:szCs w:val="24"/>
          <w:shd w:val="clear" w:fill="FFFFFF"/>
        </w:rPr>
        <w:t>按照综述对象自身的发生、发展顺序</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leftChars="0" w:right="240" w:rightChars="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有些时候，综述所涉及的研究领域各组成部分之间存在明确的发生、发展顺序，按照这样的顺序进行文献综述，可以使我们更好地认识各组成部分之间互为因果的逻辑关系以及影响这种关系的因素。例如，在服务质量管理研究中，研究对象有如下发展顺序:服务消费※服务质量感知※满意度※未来消费倾向。不同研究者的研究重点可能各不相同，有些侧重于研究前两者之间的关系，另一些侧重于研究中间两者之间的关系，还有的侧重于研究后两者之间的关系，我们可以按照不同的侧重点和研究对象发生关系的先后顺序来进行综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3.按照主要的研究范式(paradi gm)、学术流派(school)、研究视角(approach)或观点(view or pe r-spective)</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许多学科在发展过程中会出现不同的研究范式、学术流派，针对同一研究问题或研究对象也会形成较多的研究视角和学术观点。例如，产业组织理论研究就有新旧两种研究范式(NIO和TIO)，新范式与传统范式在研究重点、研究方法、实证研究基础等方面都存在较大的差异。再如，服务管理研究存在北美和北欧两个主要的学术流派，两者在研究思路和研究方法上也有较大的差异。因此，我们在做文献综述时可以根据不同的范式、流派、研究视角或观点来梳理现有文献。例如，Lengnick-H al等在综述战略人力资源管理研究文献时，就基于不同的研究视角把现有文献分为人力资源规划与评价、人力资源管理与战略匹配以及人力资源与组织结构契合三个方面。Mintzberg和Lam pel在综述战略管理研究进展时把研究者及其成果分成10个学术流派分别进行述评。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4.按照研究阶段(时期)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随着研究对象自身的演进、研究需要的变化以及研究方法的改进，同一研究领域在不同时期的研究思路和重点会出现较大的差异，按照研究阶段(时期)对文献分类并进行综述，可以帮助我们勾勒出文献综述所涉及领域不同发展阶段的清晰轮廓。例如，Ghemaw at主要按照综述对象——企业竞争战略——被研究的时间顺序来回顾和综述这方面的已有文献。从竞争战略研究的早期文献到SCP框架，然后到战略定位，最后再到资源观和动态能力观，把竞争战略研究数十年的发展脉络梳理得一清二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5.其他结构安排</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除了上述几种比较常见的结构安排外，还有一些文献综述类文章以主要人物、研究方法等为线索来进行综述。例如，A rchibugi在对创新及技术变革经济学研究历史演革进行综述时，专门对Edwin M ansfield和Nathan Rosenberg两位著名学者的研究成果、研究特色和学术贡献进行了述评。Eisenhardt在综述代理理论时主要从理论研究和经验研究两个方面讨论了相关文献的贡献。还有一些文献综述类文章同时采用以上提到的多种结构安排。</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b w:val="0"/>
          <w:bCs/>
          <w:i w:val="0"/>
          <w:caps w:val="0"/>
          <w:color w:val="626262"/>
          <w:spacing w:val="15"/>
          <w:sz w:val="24"/>
          <w:szCs w:val="24"/>
          <w:shd w:val="clear" w:fill="FFFFFF"/>
        </w:rPr>
        <w:t>不管我们采用哪种结构，一篇好的文献综述类文章必须有明确的展开逻辑和顺序，应该清晰地告诉读者为什么采用这种或这些结构安排。</w:t>
      </w:r>
      <w:r>
        <w:rPr>
          <w:rFonts w:hint="eastAsia" w:ascii="仿宋" w:hAnsi="仿宋" w:eastAsia="仿宋" w:cs="仿宋"/>
          <w:b w:val="0"/>
          <w:i w:val="0"/>
          <w:caps w:val="0"/>
          <w:color w:val="626262"/>
          <w:spacing w:val="15"/>
          <w:sz w:val="24"/>
          <w:szCs w:val="24"/>
          <w:shd w:val="clear" w:fill="FFFFFF"/>
        </w:rPr>
        <w:t>而且，当我们率先提出一种或几种结构安排(其实质是分类)时，实际上已经在做某种程度的整合工作。更进一步，这些结构安排还可以被看作是“因”，我们准备评论或在综述基础上提出的一些新观点可以被看作是“果”，因果之间也必须有严密的逻辑关系。无论采用哪种或哪些结构，在综述文章的第一节(也就是“引言”部分)，应该介绍文章的主要内容、大致结构并事先初步交代作者的原创性观点，随后各节可以按照引言所交代的思路来进行文献述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1792" w:firstLineChars="700"/>
        <w:jc w:val="both"/>
        <w:textAlignment w:val="auto"/>
        <w:rPr>
          <w:rFonts w:hint="eastAsia" w:ascii="仿宋" w:hAnsi="仿宋" w:eastAsia="仿宋" w:cs="仿宋"/>
          <w:sz w:val="24"/>
          <w:szCs w:val="24"/>
        </w:rPr>
      </w:pPr>
      <w:r>
        <w:rPr>
          <w:rFonts w:hint="eastAsia" w:ascii="仿宋" w:hAnsi="仿宋" w:eastAsia="仿宋" w:cs="仿宋"/>
          <w:b w:val="0"/>
          <w:i w:val="0"/>
          <w:caps w:val="0"/>
          <w:color w:val="333333"/>
          <w:spacing w:val="8"/>
          <w:sz w:val="24"/>
          <w:szCs w:val="24"/>
          <w:shd w:val="clear" w:fill="FFFFFF"/>
        </w:rPr>
        <w:t>06</w:t>
      </w:r>
      <w:r>
        <w:rPr>
          <w:rStyle w:val="11"/>
          <w:rFonts w:hint="eastAsia" w:ascii="仿宋" w:hAnsi="仿宋" w:eastAsia="仿宋" w:cs="仿宋"/>
          <w:i w:val="0"/>
          <w:caps w:val="0"/>
          <w:color w:val="27408B"/>
          <w:spacing w:val="15"/>
          <w:sz w:val="24"/>
          <w:szCs w:val="24"/>
          <w:shd w:val="clear" w:fill="FFFFFF"/>
        </w:rPr>
        <w:t>关于文献综述类文章写作的一些建议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在找到文献、读完文献、做好笔记并大致确定了文章的结构之后，我们就可以着手写文章了。前面已经说过，在做好笔记的基础上，写出综述文章并不困难。</w:t>
      </w:r>
      <w:r>
        <w:rPr>
          <w:rStyle w:val="11"/>
          <w:rFonts w:hint="eastAsia" w:ascii="仿宋" w:hAnsi="仿宋" w:eastAsia="仿宋" w:cs="仿宋"/>
          <w:b w:val="0"/>
          <w:bCs/>
          <w:i w:val="0"/>
          <w:caps w:val="0"/>
          <w:color w:val="626262"/>
          <w:spacing w:val="15"/>
          <w:sz w:val="24"/>
          <w:szCs w:val="24"/>
          <w:shd w:val="clear" w:fill="FFFFFF"/>
        </w:rPr>
        <w:t>但是，要把文章写好，还需要花大力气。</w:t>
      </w:r>
      <w:r>
        <w:rPr>
          <w:rFonts w:hint="eastAsia" w:ascii="仿宋" w:hAnsi="仿宋" w:eastAsia="仿宋" w:cs="仿宋"/>
          <w:b w:val="0"/>
          <w:i w:val="0"/>
          <w:caps w:val="0"/>
          <w:color w:val="626262"/>
          <w:spacing w:val="15"/>
          <w:sz w:val="24"/>
          <w:szCs w:val="24"/>
          <w:shd w:val="clear" w:fill="FFFFFF"/>
        </w:rPr>
        <w:t>以下是我们的一些建议: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1.切忌只述不评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若在文献综述类文章中仅仅是对前人的研究进行总结，自己的评论只是一笔带过，那么就落入了纯粹为了综述而综述的尴尬境地。一篇好的综述文章在广泛阅读和清晰交代前人文献的基础上，应该能够提出作者自己的观点，也就是应该能够有所评论或总结[9]。我们认为一篇综述性文章中“述”与“评”的比例以7∶3为宜。而且，在评的时候一定要有原创性观点，不能只是简单地对已有文献进行描述性统计式的评论。旨在发展新理论的综述文章则应更进一步，要在综述的基础上提出新的命题或模型。这种提出了新命题或概念性理论模型的文献综述论文具有较高的价值，能为后续研究指明方向与重点。例如，Anderson 在比较全面地回顾了研究服务业督导者、员工与顾客关系的已有文献以后，不仅提出了若干命题，而且还提出了一个概念性理论模型。Zahra和Geo rge在综述吸收能力文献时也把文章的大部分篇幅用于提出命题和构建模型。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我们经常看到一些综述文章采用了与其他综述文章一样的素材和方法，但由于采用“评”的视角去看待同样的材料并提炼出新的命题或模型，因而其学术价值明显高于那些以“述”为主的文章。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2.确保准确、清晰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文献综述类文章应该力求准确、清晰，不能写成文学体的流水账。其中，“准确”要求综述客观，在表述前人观点时不要加入自己的价值判断，只需说明被综述文献的主要观点和脉络。在综述过程中切忌断章取义，对文献做人为的取舍。对某篇文献而言，不管你喜欢与否，只要内容与综述主题相关，就必须将其列出。“清晰”是指文献综述各构成部分之间的关系清楚、层次分明，让读者看后一目了然。例如，Kirkm an及其合著者在综述运用H o fsted的文化价值框架所做的经验研究文献时将相关文献分为两大类:一类把文化看作是影响管理结果的主要因素，另一类把文化看作是影响管理结果的调节变量(mo derato r)。在综述第一类文献时，他们首先综述了证明文化在个人层面产生影响的文献，然后综述了证明文化在群体/组织/国家层面产生影响的文献。在对论证文化不同层面影响的文献进行综述时，又按照不同的研究内容来进行分类，因此，整篇文章条理井然、思路清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3.组织好材料，避免罗列、堆砌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我们在做文献综述时常犯的一种毛病就是罗列与堆砌材料。由于花费了大量的时间查找、阅读和分析文献，在实际写作时往往会把所有与综述主题有关的文献中的观点都写入手稿中，就怕遗漏了什么而让自己的努力白费。但是，这样做会导致综述文章臃肿不堪，使综述主题被淹没在大量的材料中而无法突出重点。因此，我们在整理笔记并进行写作时一定要有所取舍；与综述主题无关或关系不大的观点，即使已经为它们花费了很多的时间和精力，该舍弃的还得舍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4.缩小范围，突出重点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无论是管理学的哪一个研究领域，通常已经存在大量的文献综述类文章，而且很多文章内容重复性较大。造成重复性较大的主要原因是作者所选择的综述主题较大、范围较广。在这种情况下，只能介绍那些最重要的文献，重复自然难以避免。例如，若泛泛以“企业动态能力”、“企业战略联盟”作为我们的综述主题，那么，我们所做的综述与别人的综述很可能大同小异。要想做出具有较大新意的文献综述，从选择综述主题的角度看，应该缩小范围；从篇幅安排的角度看，应该突出重点，避免面面俱到。其中，缩小范围是指综述时不要做“大题目”，要做“小题目”。例如，在服务质量和顾客满意度研究领域，不宜选择“服务质量研究综述”、“顾客满意度研究综述”作为文章的标题，而应该选择“发展中国家服务质量研究综述”、“基于不同文化背景的顾客满意度研究综述”等涵盖面较小的题目，这样容易取得有价值的成果。重点突出是指在做综述时，只需综述与主题直接相关的文献即可，不要一谈到劳动分工就追溯到亚当·斯密，切忌介绍已经成为常识的知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jc w:val="both"/>
        <w:textAlignment w:val="auto"/>
        <w:rPr>
          <w:rFonts w:hint="eastAsia" w:ascii="仿宋" w:hAnsi="仿宋" w:eastAsia="仿宋" w:cs="仿宋"/>
          <w:sz w:val="24"/>
          <w:szCs w:val="24"/>
        </w:rPr>
      </w:pPr>
      <w:r>
        <w:rPr>
          <w:rStyle w:val="11"/>
          <w:rFonts w:hint="eastAsia" w:ascii="仿宋" w:hAnsi="仿宋" w:eastAsia="仿宋" w:cs="仿宋"/>
          <w:i w:val="0"/>
          <w:caps w:val="0"/>
          <w:color w:val="27408B"/>
          <w:spacing w:val="15"/>
          <w:sz w:val="24"/>
          <w:szCs w:val="24"/>
          <w:shd w:val="clear" w:fill="FFFFFF"/>
        </w:rPr>
        <w:t>5.认真阅读文献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leftChars="100" w:right="240" w:firstLine="540" w:firstLineChars="200"/>
        <w:jc w:val="both"/>
        <w:textAlignment w:val="auto"/>
        <w:rPr>
          <w:rFonts w:hint="eastAsia" w:ascii="仿宋" w:hAnsi="仿宋" w:eastAsia="仿宋" w:cs="仿宋"/>
          <w:sz w:val="24"/>
          <w:szCs w:val="24"/>
        </w:rPr>
      </w:pPr>
      <w:r>
        <w:rPr>
          <w:rFonts w:hint="eastAsia" w:ascii="仿宋" w:hAnsi="仿宋" w:eastAsia="仿宋" w:cs="仿宋"/>
          <w:b w:val="0"/>
          <w:i w:val="0"/>
          <w:caps w:val="0"/>
          <w:color w:val="626262"/>
          <w:spacing w:val="15"/>
          <w:sz w:val="24"/>
          <w:szCs w:val="24"/>
          <w:shd w:val="clear" w:fill="FFFFFF"/>
        </w:rPr>
        <w:t>必须老老实实逐篇阅读已有相关文献，每一篇被引用的文献至少要阅读内容摘要和结论，大部分文献应该阅读摘要、引言、发现和结论，少数重要文献必须通读全文。没有读过的文献不要引用到自己的综述中。现在很多综述文章的一个通病就是作者并没有真正看过所引用的原文，把他人的述评直接作为自己的观点；有时甚至无法发现他人述评中的笔误或错讹，以至于以讹传讹。事实上，上述几方面的建议也是建立在综述作者认认真真阅读文献的基础上的。最后，在认真读文献的同时，我们还应注意查找最新发表的文章或成果，确保综述内容包括最新的文献并能够反映相关研究主题的最前沿成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3072" w:firstLineChars="1200"/>
        <w:jc w:val="both"/>
        <w:textAlignment w:val="auto"/>
        <w:rPr>
          <w:rFonts w:hint="eastAsia" w:ascii="仿宋" w:hAnsi="仿宋" w:eastAsia="仿宋" w:cs="仿宋"/>
          <w:b w:val="0"/>
          <w:bCs w:val="0"/>
          <w:sz w:val="24"/>
          <w:szCs w:val="24"/>
        </w:rPr>
      </w:pPr>
      <w:r>
        <w:rPr>
          <w:rFonts w:hint="eastAsia" w:ascii="仿宋" w:hAnsi="仿宋" w:eastAsia="仿宋" w:cs="仿宋"/>
          <w:b w:val="0"/>
          <w:bCs w:val="0"/>
          <w:i w:val="0"/>
          <w:caps w:val="0"/>
          <w:color w:val="333333"/>
          <w:spacing w:val="8"/>
          <w:sz w:val="24"/>
          <w:szCs w:val="24"/>
          <w:shd w:val="clear" w:fill="FFFFFF"/>
        </w:rPr>
        <w:t>07</w:t>
      </w:r>
      <w:r>
        <w:rPr>
          <w:rStyle w:val="11"/>
          <w:rFonts w:hint="eastAsia" w:ascii="仿宋" w:hAnsi="仿宋" w:eastAsia="仿宋" w:cs="仿宋"/>
          <w:b w:val="0"/>
          <w:bCs w:val="0"/>
          <w:i w:val="0"/>
          <w:caps w:val="0"/>
          <w:color w:val="27408B"/>
          <w:spacing w:val="15"/>
          <w:sz w:val="24"/>
          <w:szCs w:val="24"/>
          <w:shd w:val="clear" w:fill="FFFFFF"/>
        </w:rPr>
        <w:t>结语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leftChars="100" w:right="240" w:firstLine="54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i w:val="0"/>
          <w:caps w:val="0"/>
          <w:color w:val="626262"/>
          <w:spacing w:val="15"/>
          <w:sz w:val="24"/>
          <w:szCs w:val="24"/>
          <w:shd w:val="clear" w:fill="FFFFFF"/>
        </w:rPr>
        <w:t>以上初步探讨了有关管理学文献综述类文章写作的几个重要问题——综述什么，如何找文献、读文献，如何安排文章结构。我们希望这些初步的探讨能够抛砖引玉，引起大家们的注意，也把他们的心得体会告诉我们。</w:t>
      </w:r>
      <w:r>
        <w:rPr>
          <w:rStyle w:val="11"/>
          <w:rFonts w:hint="eastAsia" w:ascii="仿宋" w:hAnsi="仿宋" w:eastAsia="仿宋" w:cs="仿宋"/>
          <w:b w:val="0"/>
          <w:bCs w:val="0"/>
          <w:i w:val="0"/>
          <w:caps w:val="0"/>
          <w:color w:val="626262"/>
          <w:spacing w:val="15"/>
          <w:sz w:val="24"/>
          <w:szCs w:val="24"/>
          <w:shd w:val="clear" w:fill="FFFFFF"/>
        </w:rPr>
        <w:t>我们最后想说，对于研究生而言，学写文献综述类文章非常重要: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b w:val="0"/>
          <w:bCs w:val="0"/>
          <w:sz w:val="24"/>
          <w:szCs w:val="24"/>
        </w:rPr>
      </w:pPr>
      <w:r>
        <w:rPr>
          <w:rStyle w:val="11"/>
          <w:rFonts w:hint="eastAsia" w:ascii="仿宋" w:hAnsi="仿宋" w:eastAsia="仿宋" w:cs="仿宋"/>
          <w:b w:val="0"/>
          <w:bCs w:val="0"/>
          <w:i w:val="0"/>
          <w:caps w:val="0"/>
          <w:color w:val="626262"/>
          <w:spacing w:val="15"/>
          <w:sz w:val="24"/>
          <w:szCs w:val="24"/>
          <w:shd w:val="clear" w:fill="FFFFFF"/>
        </w:rPr>
        <w:t>一则</w:t>
      </w:r>
      <w:r>
        <w:rPr>
          <w:rFonts w:hint="eastAsia" w:ascii="仿宋" w:hAnsi="仿宋" w:eastAsia="仿宋" w:cs="仿宋"/>
          <w:b w:val="0"/>
          <w:bCs w:val="0"/>
          <w:i w:val="0"/>
          <w:caps w:val="0"/>
          <w:color w:val="626262"/>
          <w:spacing w:val="15"/>
          <w:sz w:val="24"/>
          <w:szCs w:val="24"/>
          <w:shd w:val="clear" w:fill="FFFFFF"/>
        </w:rPr>
        <w:t>对于他们提高查找、阅读和分析文献的能力大有帮助，</w:t>
      </w:r>
      <w:r>
        <w:rPr>
          <w:rStyle w:val="11"/>
          <w:rFonts w:hint="eastAsia" w:ascii="仿宋" w:hAnsi="仿宋" w:eastAsia="仿宋" w:cs="仿宋"/>
          <w:b w:val="0"/>
          <w:bCs w:val="0"/>
          <w:i w:val="0"/>
          <w:caps w:val="0"/>
          <w:color w:val="626262"/>
          <w:spacing w:val="15"/>
          <w:sz w:val="24"/>
          <w:szCs w:val="24"/>
          <w:shd w:val="clear" w:fill="FFFFFF"/>
        </w:rPr>
        <w:t>二则</w:t>
      </w:r>
      <w:r>
        <w:rPr>
          <w:rFonts w:hint="eastAsia" w:ascii="仿宋" w:hAnsi="仿宋" w:eastAsia="仿宋" w:cs="仿宋"/>
          <w:b w:val="0"/>
          <w:bCs w:val="0"/>
          <w:i w:val="0"/>
          <w:caps w:val="0"/>
          <w:color w:val="626262"/>
          <w:spacing w:val="15"/>
          <w:sz w:val="24"/>
          <w:szCs w:val="24"/>
          <w:shd w:val="clear" w:fill="FFFFFF"/>
        </w:rPr>
        <w:t>有助于研究生了解相关领域的已有成果，把握、跟踪最新的学术进展，</w:t>
      </w:r>
      <w:r>
        <w:rPr>
          <w:rStyle w:val="11"/>
          <w:rFonts w:hint="eastAsia" w:ascii="仿宋" w:hAnsi="仿宋" w:eastAsia="仿宋" w:cs="仿宋"/>
          <w:b w:val="0"/>
          <w:bCs w:val="0"/>
          <w:i w:val="0"/>
          <w:caps w:val="0"/>
          <w:color w:val="626262"/>
          <w:spacing w:val="15"/>
          <w:sz w:val="24"/>
          <w:szCs w:val="24"/>
          <w:shd w:val="clear" w:fill="FFFFFF"/>
        </w:rPr>
        <w:t>三则</w:t>
      </w:r>
      <w:r>
        <w:rPr>
          <w:rFonts w:hint="eastAsia" w:ascii="仿宋" w:hAnsi="仿宋" w:eastAsia="仿宋" w:cs="仿宋"/>
          <w:b w:val="0"/>
          <w:bCs w:val="0"/>
          <w:i w:val="0"/>
          <w:caps w:val="0"/>
          <w:color w:val="626262"/>
          <w:spacing w:val="15"/>
          <w:sz w:val="24"/>
          <w:szCs w:val="24"/>
          <w:shd w:val="clear" w:fill="FFFFFF"/>
        </w:rPr>
        <w:t>只要肯下功夫，掌握写作技巧，研究生在学习期间完全能够写出高质量的文献综述类文章。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240" w:right="240" w:firstLine="540" w:firstLineChars="200"/>
        <w:jc w:val="both"/>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i w:val="0"/>
          <w:caps w:val="0"/>
          <w:color w:val="626262"/>
          <w:spacing w:val="15"/>
          <w:sz w:val="24"/>
          <w:szCs w:val="24"/>
          <w:shd w:val="clear" w:fill="FFFFFF"/>
        </w:rPr>
        <w:t>但是，这并不意味着文献综述写作是一项简单的工作。事实上，写好一篇文献综述所花费的时间和精力，可能要远远超过写一篇一般的、利用统计工具做经验研究的论文。但是，一旦公开发表，这样的文献综述类文章意义远远大于一般的经验研究论文。我们衷心希望本文能够为研究生尽快掌握管理学文献综述类文章的写作技巧提供些许助益。</w:t>
      </w:r>
      <w:r>
        <w:rPr>
          <w:rFonts w:hint="eastAsia" w:ascii="仿宋" w:hAnsi="仿宋" w:eastAsia="仿宋" w:cs="仿宋"/>
          <w:b w:val="0"/>
          <w:bCs w:val="0"/>
          <w:i w:val="0"/>
          <w:caps w:val="0"/>
          <w:color w:val="626262"/>
          <w:spacing w:val="15"/>
          <w:sz w:val="24"/>
          <w:szCs w:val="24"/>
          <w:shd w:val="clear" w:fill="FFFFFF"/>
          <w:lang w:eastAsia="zh-CN"/>
        </w:rPr>
        <w:t>（工业工程系杨敏老师提供）</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ind w:firstLine="640" w:firstLineChars="200"/>
        <w:rPr>
          <w:rFonts w:hint="eastAsia" w:ascii="仿宋" w:hAnsi="仿宋" w:eastAsia="仿宋" w:cs="仿宋"/>
          <w:color w:val="231F20"/>
          <w:sz w:val="32"/>
          <w:szCs w:val="32"/>
        </w:rPr>
      </w:pPr>
      <w:r>
        <w:rPr>
          <w:rFonts w:hint="eastAsia" w:ascii="仿宋" w:hAnsi="仿宋" w:eastAsia="仿宋" w:cs="仿宋"/>
          <w:color w:val="231F20"/>
          <w:sz w:val="32"/>
          <w:szCs w:val="32"/>
        </w:rPr>
        <w:t>农业物联网：实施“互联网＋现代农业”的技术支撑</w:t>
      </w:r>
    </w:p>
    <w:p>
      <w:pPr>
        <w:spacing w:before="69"/>
        <w:ind w:left="0" w:right="183" w:firstLine="0"/>
        <w:jc w:val="center"/>
        <w:rPr>
          <w:rFonts w:hint="eastAsia" w:ascii="仿宋" w:hAnsi="仿宋" w:eastAsia="仿宋" w:cs="仿宋"/>
          <w:sz w:val="26"/>
        </w:rPr>
      </w:pPr>
      <w:r>
        <w:rPr>
          <w:color w:val="231F20"/>
          <w:spacing w:val="-274"/>
          <w:w w:val="214"/>
          <w:sz w:val="26"/>
        </w:rPr>
        <w:t>—</w:t>
      </w:r>
      <w:r>
        <w:rPr>
          <w:rFonts w:hint="eastAsia" w:ascii="仿宋" w:hAnsi="仿宋" w:eastAsia="仿宋" w:cs="仿宋"/>
          <w:color w:val="231F20"/>
          <w:spacing w:val="13"/>
          <w:w w:val="102"/>
          <w:sz w:val="26"/>
        </w:rPr>
        <w:t>—基于江苏省农业物联网示范应用的调查</w:t>
      </w:r>
    </w:p>
    <w:p>
      <w:pPr>
        <w:pStyle w:val="4"/>
        <w:spacing w:before="2"/>
        <w:ind w:left="0"/>
        <w:jc w:val="left"/>
        <w:rPr>
          <w:sz w:val="24"/>
        </w:rPr>
      </w:pPr>
    </w:p>
    <w:p>
      <w:pPr>
        <w:keepNext w:val="0"/>
        <w:keepLines w:val="0"/>
        <w:pageBreakBefore w:val="0"/>
        <w:widowControl w:val="0"/>
        <w:tabs>
          <w:tab w:val="left" w:pos="962"/>
          <w:tab w:val="left" w:pos="1443"/>
          <w:tab w:val="left" w:pos="1924"/>
        </w:tabs>
        <w:kinsoku/>
        <w:wordWrap/>
        <w:overflowPunct/>
        <w:topLinePunct w:val="0"/>
        <w:autoSpaceDE/>
        <w:autoSpaceDN/>
        <w:bidi w:val="0"/>
        <w:adjustRightInd/>
        <w:snapToGrid/>
        <w:spacing w:before="0" w:afterAutospacing="0" w:line="360" w:lineRule="auto"/>
        <w:ind w:left="0" w:right="188" w:firstLine="0"/>
        <w:jc w:val="center"/>
        <w:textAlignment w:val="auto"/>
        <w:rPr>
          <w:rFonts w:hint="eastAsia" w:ascii="仿宋" w:hAnsi="仿宋" w:eastAsia="仿宋" w:cs="仿宋"/>
          <w:sz w:val="24"/>
          <w:szCs w:val="24"/>
        </w:rPr>
      </w:pPr>
      <w:r>
        <w:rPr>
          <w:rFonts w:hint="eastAsia" w:ascii="仿宋" w:hAnsi="仿宋" w:eastAsia="仿宋" w:cs="仿宋"/>
          <w:color w:val="231F20"/>
          <w:sz w:val="24"/>
          <w:szCs w:val="24"/>
        </w:rPr>
        <w:t>徐元明</w:t>
      </w:r>
      <w:r>
        <w:rPr>
          <w:rFonts w:hint="eastAsia" w:ascii="仿宋" w:hAnsi="仿宋" w:eastAsia="仿宋" w:cs="仿宋"/>
          <w:color w:val="231F20"/>
          <w:sz w:val="24"/>
          <w:szCs w:val="24"/>
        </w:rPr>
        <w:tab/>
      </w:r>
      <w:r>
        <w:rPr>
          <w:rFonts w:hint="eastAsia" w:ascii="仿宋" w:hAnsi="仿宋" w:eastAsia="仿宋" w:cs="仿宋"/>
          <w:color w:val="231F20"/>
          <w:sz w:val="24"/>
          <w:szCs w:val="24"/>
        </w:rPr>
        <w:t>孟</w:t>
      </w:r>
      <w:r>
        <w:rPr>
          <w:rFonts w:hint="eastAsia" w:ascii="仿宋" w:hAnsi="仿宋" w:eastAsia="仿宋" w:cs="仿宋"/>
          <w:color w:val="231F20"/>
          <w:sz w:val="24"/>
          <w:szCs w:val="24"/>
        </w:rPr>
        <w:tab/>
      </w:r>
      <w:r>
        <w:rPr>
          <w:rFonts w:hint="eastAsia" w:ascii="仿宋" w:hAnsi="仿宋" w:eastAsia="仿宋" w:cs="仿宋"/>
          <w:color w:val="231F20"/>
          <w:sz w:val="24"/>
          <w:szCs w:val="24"/>
        </w:rPr>
        <w:t>静</w:t>
      </w:r>
      <w:r>
        <w:rPr>
          <w:rFonts w:hint="eastAsia" w:ascii="仿宋" w:hAnsi="仿宋" w:eastAsia="仿宋" w:cs="仿宋"/>
          <w:color w:val="231F20"/>
          <w:sz w:val="24"/>
          <w:szCs w:val="24"/>
        </w:rPr>
        <w:tab/>
      </w:r>
      <w:r>
        <w:rPr>
          <w:rFonts w:hint="eastAsia" w:ascii="仿宋" w:hAnsi="仿宋" w:eastAsia="仿宋" w:cs="仿宋"/>
          <w:color w:val="231F20"/>
          <w:sz w:val="24"/>
          <w:szCs w:val="24"/>
        </w:rPr>
        <w:t>赵锦春</w:t>
      </w:r>
    </w:p>
    <w:p>
      <w:pPr>
        <w:pStyle w:val="4"/>
        <w:keepNext w:val="0"/>
        <w:keepLines w:val="0"/>
        <w:pageBreakBefore w:val="0"/>
        <w:widowControl w:val="0"/>
        <w:kinsoku/>
        <w:wordWrap/>
        <w:overflowPunct/>
        <w:topLinePunct w:val="0"/>
        <w:autoSpaceDE/>
        <w:autoSpaceDN/>
        <w:bidi w:val="0"/>
        <w:adjustRightInd/>
        <w:snapToGrid/>
        <w:spacing w:before="13" w:afterAutospacing="0" w:line="360" w:lineRule="auto"/>
        <w:ind w:left="0"/>
        <w:jc w:val="left"/>
        <w:textAlignment w:val="auto"/>
        <w:rPr>
          <w:rFonts w:hint="eastAsia" w:ascii="仿宋" w:hAnsi="仿宋" w:eastAsia="仿宋" w:cs="仿宋"/>
          <w:sz w:val="24"/>
          <w:szCs w:val="24"/>
        </w:rPr>
      </w:pP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108" w:right="294" w:firstLine="419"/>
        <w:jc w:val="left"/>
        <w:textAlignment w:val="auto"/>
        <w:rPr>
          <w:rFonts w:hint="eastAsia" w:ascii="仿宋" w:hAnsi="仿宋" w:eastAsia="仿宋" w:cs="仿宋"/>
          <w:sz w:val="24"/>
          <w:szCs w:val="24"/>
        </w:rPr>
      </w:pPr>
      <w:r>
        <w:rPr>
          <w:rFonts w:hint="eastAsia" w:ascii="仿宋" w:hAnsi="仿宋" w:eastAsia="仿宋" w:cs="仿宋"/>
          <w:color w:val="231F20"/>
          <w:spacing w:val="13"/>
          <w:sz w:val="24"/>
          <w:szCs w:val="24"/>
        </w:rPr>
        <w:t>内容提要</w:t>
      </w:r>
      <w:r>
        <w:rPr>
          <w:rFonts w:hint="eastAsia" w:ascii="仿宋" w:hAnsi="仿宋" w:eastAsia="仿宋" w:cs="仿宋"/>
          <w:color w:val="231F20"/>
          <w:spacing w:val="3"/>
          <w:w w:val="80"/>
          <w:sz w:val="24"/>
          <w:szCs w:val="24"/>
        </w:rPr>
        <w:t xml:space="preserve">： </w:t>
      </w:r>
      <w:r>
        <w:rPr>
          <w:rFonts w:hint="eastAsia" w:ascii="仿宋" w:hAnsi="仿宋" w:eastAsia="仿宋" w:cs="仿宋"/>
          <w:color w:val="231F20"/>
          <w:spacing w:val="13"/>
          <w:sz w:val="24"/>
          <w:szCs w:val="24"/>
        </w:rPr>
        <w:t>物联网技术在农业全产业链的应用</w:t>
      </w:r>
      <w:r>
        <w:rPr>
          <w:rFonts w:hint="eastAsia" w:ascii="仿宋" w:hAnsi="仿宋" w:eastAsia="仿宋" w:cs="仿宋"/>
          <w:color w:val="231F20"/>
          <w:spacing w:val="7"/>
          <w:w w:val="80"/>
          <w:sz w:val="24"/>
          <w:szCs w:val="24"/>
        </w:rPr>
        <w:t>，</w:t>
      </w:r>
      <w:r>
        <w:rPr>
          <w:rFonts w:hint="eastAsia" w:ascii="仿宋" w:hAnsi="仿宋" w:eastAsia="仿宋" w:cs="仿宋"/>
          <w:color w:val="231F20"/>
          <w:spacing w:val="15"/>
          <w:sz w:val="24"/>
          <w:szCs w:val="24"/>
        </w:rPr>
        <w:t>是加快转变农业发展方式</w:t>
      </w:r>
      <w:r>
        <w:rPr>
          <w:rFonts w:hint="eastAsia" w:ascii="仿宋" w:hAnsi="仿宋" w:eastAsia="仿宋" w:cs="仿宋"/>
          <w:color w:val="231F20"/>
          <w:spacing w:val="9"/>
          <w:w w:val="80"/>
          <w:sz w:val="24"/>
          <w:szCs w:val="24"/>
        </w:rPr>
        <w:t>，</w:t>
      </w:r>
      <w:r>
        <w:rPr>
          <w:rFonts w:hint="eastAsia" w:ascii="仿宋" w:hAnsi="仿宋" w:eastAsia="仿宋" w:cs="仿宋"/>
          <w:color w:val="231F20"/>
          <w:spacing w:val="15"/>
          <w:sz w:val="24"/>
          <w:szCs w:val="24"/>
        </w:rPr>
        <w:t>确保农产品有效供给</w:t>
      </w:r>
      <w:r>
        <w:rPr>
          <w:rFonts w:hint="eastAsia" w:ascii="仿宋" w:hAnsi="仿宋" w:eastAsia="仿宋" w:cs="仿宋"/>
          <w:color w:val="231F20"/>
          <w:spacing w:val="9"/>
          <w:w w:val="80"/>
          <w:sz w:val="24"/>
          <w:szCs w:val="24"/>
        </w:rPr>
        <w:t>，</w:t>
      </w:r>
      <w:r>
        <w:rPr>
          <w:rFonts w:hint="eastAsia" w:ascii="仿宋" w:hAnsi="仿宋" w:eastAsia="仿宋" w:cs="仿宋"/>
          <w:color w:val="231F20"/>
          <w:spacing w:val="10"/>
          <w:sz w:val="24"/>
          <w:szCs w:val="24"/>
        </w:rPr>
        <w:t>实现绿</w:t>
      </w:r>
      <w:r>
        <w:rPr>
          <w:rFonts w:hint="eastAsia" w:ascii="仿宋" w:hAnsi="仿宋" w:eastAsia="仿宋" w:cs="仿宋"/>
          <w:color w:val="231F20"/>
          <w:spacing w:val="11"/>
          <w:sz w:val="24"/>
          <w:szCs w:val="24"/>
        </w:rPr>
        <w:t>色发展和资源永续利用的重要措施</w:t>
      </w:r>
      <w:r>
        <w:rPr>
          <w:rFonts w:hint="eastAsia" w:ascii="仿宋" w:hAnsi="仿宋" w:eastAsia="仿宋" w:cs="仿宋"/>
          <w:color w:val="231F20"/>
          <w:spacing w:val="5"/>
          <w:w w:val="80"/>
          <w:sz w:val="24"/>
          <w:szCs w:val="24"/>
        </w:rPr>
        <w:t>；</w:t>
      </w:r>
      <w:r>
        <w:rPr>
          <w:rFonts w:hint="eastAsia" w:ascii="仿宋" w:hAnsi="仿宋" w:eastAsia="仿宋" w:cs="仿宋"/>
          <w:color w:val="231F20"/>
          <w:spacing w:val="11"/>
          <w:sz w:val="24"/>
          <w:szCs w:val="24"/>
        </w:rPr>
        <w:t>是提升我国农业竞争力</w:t>
      </w:r>
      <w:r>
        <w:rPr>
          <w:rFonts w:hint="eastAsia" w:ascii="仿宋" w:hAnsi="仿宋" w:eastAsia="仿宋" w:cs="仿宋"/>
          <w:color w:val="231F20"/>
          <w:spacing w:val="5"/>
          <w:w w:val="80"/>
          <w:sz w:val="24"/>
          <w:szCs w:val="24"/>
        </w:rPr>
        <w:t>，</w:t>
      </w:r>
      <w:r>
        <w:rPr>
          <w:rFonts w:hint="eastAsia" w:ascii="仿宋" w:hAnsi="仿宋" w:eastAsia="仿宋" w:cs="仿宋"/>
          <w:color w:val="231F20"/>
          <w:spacing w:val="11"/>
          <w:sz w:val="24"/>
          <w:szCs w:val="24"/>
        </w:rPr>
        <w:t>走农业现代化道路的必然选择</w:t>
      </w:r>
      <w:r>
        <w:rPr>
          <w:rFonts w:hint="eastAsia" w:ascii="仿宋" w:hAnsi="仿宋" w:eastAsia="仿宋" w:cs="仿宋"/>
          <w:color w:val="231F20"/>
          <w:spacing w:val="2"/>
          <w:w w:val="80"/>
          <w:sz w:val="24"/>
          <w:szCs w:val="24"/>
        </w:rPr>
        <w:t xml:space="preserve">。 </w:t>
      </w:r>
      <w:r>
        <w:rPr>
          <w:rFonts w:hint="eastAsia" w:ascii="仿宋" w:hAnsi="仿宋" w:eastAsia="仿宋" w:cs="仿宋"/>
          <w:color w:val="231F20"/>
          <w:spacing w:val="9"/>
          <w:sz w:val="24"/>
          <w:szCs w:val="24"/>
        </w:rPr>
        <w:t>本文通过对江苏</w:t>
      </w:r>
      <w:r>
        <w:rPr>
          <w:rFonts w:hint="eastAsia" w:ascii="仿宋" w:hAnsi="仿宋" w:eastAsia="仿宋" w:cs="仿宋"/>
          <w:color w:val="231F20"/>
          <w:spacing w:val="13"/>
          <w:sz w:val="24"/>
          <w:szCs w:val="24"/>
        </w:rPr>
        <w:t>省农业物联网发展现状的调查和</w:t>
      </w:r>
      <w:r>
        <w:rPr>
          <w:rFonts w:hint="eastAsia" w:ascii="仿宋" w:hAnsi="仿宋" w:eastAsia="仿宋" w:cs="仿宋"/>
          <w:color w:val="231F20"/>
          <w:spacing w:val="13"/>
          <w:sz w:val="24"/>
          <w:szCs w:val="24"/>
          <w:lang w:val="en-US" w:eastAsia="zh-CN"/>
        </w:rPr>
        <w:t>72</w:t>
      </w:r>
      <w:r>
        <w:rPr>
          <w:rFonts w:hint="eastAsia" w:ascii="仿宋" w:hAnsi="仿宋" w:eastAsia="仿宋" w:cs="仿宋"/>
          <w:color w:val="231F20"/>
          <w:spacing w:val="13"/>
          <w:sz w:val="24"/>
          <w:szCs w:val="24"/>
        </w:rPr>
        <w:t>家农业物联网应用单位的访谈和问卷分析</w:t>
      </w:r>
      <w:r>
        <w:rPr>
          <w:rFonts w:hint="eastAsia" w:ascii="仿宋" w:hAnsi="仿宋" w:eastAsia="仿宋" w:cs="仿宋"/>
          <w:color w:val="231F20"/>
          <w:spacing w:val="7"/>
          <w:w w:val="85"/>
          <w:sz w:val="24"/>
          <w:szCs w:val="24"/>
        </w:rPr>
        <w:t>，</w:t>
      </w:r>
      <w:r>
        <w:rPr>
          <w:rFonts w:hint="eastAsia" w:ascii="仿宋" w:hAnsi="仿宋" w:eastAsia="仿宋" w:cs="仿宋"/>
          <w:color w:val="231F20"/>
          <w:spacing w:val="14"/>
          <w:sz w:val="24"/>
          <w:szCs w:val="24"/>
        </w:rPr>
        <w:t>认为</w:t>
      </w:r>
      <w:r>
        <w:rPr>
          <w:rFonts w:hint="eastAsia" w:ascii="仿宋" w:hAnsi="仿宋" w:eastAsia="仿宋" w:cs="仿宋"/>
          <w:color w:val="231F20"/>
          <w:spacing w:val="7"/>
          <w:w w:val="85"/>
          <w:sz w:val="24"/>
          <w:szCs w:val="24"/>
        </w:rPr>
        <w:t>，</w:t>
      </w:r>
      <w:r>
        <w:rPr>
          <w:rFonts w:hint="eastAsia" w:ascii="仿宋" w:hAnsi="仿宋" w:eastAsia="仿宋" w:cs="仿宋"/>
          <w:color w:val="231F20"/>
          <w:spacing w:val="12"/>
          <w:sz w:val="24"/>
          <w:szCs w:val="24"/>
        </w:rPr>
        <w:t>有效推动还处于起步阶</w:t>
      </w:r>
      <w:r>
        <w:rPr>
          <w:rFonts w:hint="eastAsia" w:ascii="仿宋" w:hAnsi="仿宋" w:eastAsia="仿宋" w:cs="仿宋"/>
          <w:color w:val="231F20"/>
          <w:sz w:val="24"/>
          <w:szCs w:val="24"/>
        </w:rPr>
        <w:t>段的农业物联网发展</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需要中央和地方政府出台一系列支持政策</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形成农业物联网政策支持体系</w:t>
      </w:r>
      <w:r>
        <w:rPr>
          <w:rFonts w:hint="eastAsia" w:ascii="仿宋" w:hAnsi="仿宋" w:eastAsia="仿宋" w:cs="仿宋"/>
          <w:color w:val="231F20"/>
          <w:w w:val="80"/>
          <w:sz w:val="24"/>
          <w:szCs w:val="24"/>
        </w:rPr>
        <w:t>。</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108" w:right="294" w:firstLine="419"/>
        <w:jc w:val="left"/>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关 键 词： 物联网应用</w:t>
      </w:r>
      <w:r>
        <w:rPr>
          <w:rFonts w:hint="eastAsia" w:ascii="仿宋" w:hAnsi="仿宋" w:eastAsia="仿宋" w:cs="仿宋"/>
          <w:color w:val="231F20"/>
          <w:spacing w:val="11"/>
          <w:sz w:val="24"/>
          <w:szCs w:val="24"/>
        </w:rPr>
        <w:tab/>
      </w:r>
      <w:r>
        <w:rPr>
          <w:rFonts w:hint="eastAsia" w:ascii="仿宋" w:hAnsi="仿宋" w:eastAsia="仿宋" w:cs="仿宋"/>
          <w:color w:val="231F20"/>
          <w:spacing w:val="11"/>
          <w:sz w:val="24"/>
          <w:szCs w:val="24"/>
        </w:rPr>
        <w:t>农业新变化</w:t>
      </w:r>
      <w:r>
        <w:rPr>
          <w:rFonts w:hint="eastAsia" w:ascii="仿宋" w:hAnsi="仿宋" w:eastAsia="仿宋" w:cs="仿宋"/>
          <w:color w:val="231F20"/>
          <w:spacing w:val="11"/>
          <w:sz w:val="24"/>
          <w:szCs w:val="24"/>
        </w:rPr>
        <w:tab/>
      </w:r>
      <w:r>
        <w:rPr>
          <w:rFonts w:hint="eastAsia" w:ascii="仿宋" w:hAnsi="仿宋" w:eastAsia="仿宋" w:cs="仿宋"/>
          <w:color w:val="231F20"/>
          <w:spacing w:val="11"/>
          <w:sz w:val="24"/>
          <w:szCs w:val="24"/>
        </w:rPr>
        <w:t>问题与推进政策</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108" w:right="294" w:firstLine="419"/>
        <w:jc w:val="left"/>
        <w:textAlignment w:val="auto"/>
        <w:rPr>
          <w:rFonts w:hint="eastAsia" w:ascii="仿宋" w:hAnsi="仿宋" w:eastAsia="仿宋" w:cs="仿宋"/>
          <w:color w:val="231F20"/>
          <w:spacing w:val="11"/>
          <w:sz w:val="24"/>
          <w:szCs w:val="24"/>
        </w:rPr>
      </w:pP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108" w:right="294" w:firstLine="419"/>
        <w:jc w:val="left"/>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农业物联网是“互联网＋农业”的具体应用，是通过各种传感器采集信息，将大量的传感器节点构成监控网络，使农业经营者准确确定农业生产过程中发生的情况，及时采取措施（陈晓栋，2015）。物联网技术在农业上的应用， 将从根本上改变我国的农业生产方式，这种以信息和软件为中心的生产模式，实现了农业精准化生产、农产品安全溯源、远程及自动化管理和农产品智能储运等。</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108" w:right="294" w:firstLine="419"/>
        <w:jc w:val="left"/>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近年来， 江苏省加快物联网技术在畜禽水产养殖、温室大棚、露地作物等农业生产领域的应用，创建一批农业物联网应用示范基地。 江苏省在农业生产、农产品溯源和质量控制、农业物联网平台、农业物联网基础数据库建设、农产品商贸物流、农产品电子商务等领域均有物联网技术应用，江苏省农业委员会支持和批准的农业物联网技术应用示范项目 2012 年为42 项，2013 年为 65 项，2014 年为 69 项。2014 年江苏省共有 448 个温室大棚物联网技术应用点，应用面积达 274425 亩；畜禽养殖物联网技术应用点 842 个，应用面积达 43102 亩；水产养殖物联网技术应用点 331 个，应用面积达 688536 亩。</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19"/>
        <w:jc w:val="left"/>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一、物联网逐步成为发展农业新型业态的重要技术支撑</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19"/>
        <w:jc w:val="left"/>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农业一直被认为是自然再生产的过程，是“靠天吃饭”的劳动密集型行业，农业劳动是“脏累苦”的代名词。 但农业信息化和物联网技术的应用，从根本上改变了农业生产方式，在各个农业领域全面试点。</w:t>
      </w:r>
    </w:p>
    <w:p>
      <w:pPr>
        <w:pStyle w:val="4"/>
        <w:keepNext w:val="0"/>
        <w:keepLines w:val="0"/>
        <w:pageBreakBefore w:val="0"/>
        <w:widowControl w:val="0"/>
        <w:numPr>
          <w:ilvl w:val="0"/>
          <w:numId w:val="0"/>
        </w:numPr>
        <w:kinsoku/>
        <w:wordWrap/>
        <w:overflowPunct/>
        <w:topLinePunct w:val="0"/>
        <w:autoSpaceDE/>
        <w:autoSpaceDN/>
        <w:bidi w:val="0"/>
        <w:adjustRightInd/>
        <w:snapToGrid/>
        <w:spacing w:afterAutospacing="0" w:line="360" w:lineRule="auto"/>
        <w:ind w:left="0" w:leftChars="0" w:right="0" w:rightChars="0" w:firstLine="524" w:firstLineChars="200"/>
        <w:jc w:val="left"/>
        <w:textAlignment w:val="auto"/>
        <w:rPr>
          <w:rFonts w:hint="eastAsia" w:ascii="仿宋" w:hAnsi="仿宋" w:eastAsia="仿宋" w:cs="仿宋"/>
          <w:color w:val="231F20"/>
          <w:spacing w:val="11"/>
          <w:sz w:val="24"/>
          <w:szCs w:val="24"/>
          <w:lang w:val="en-US" w:eastAsia="zh-CN"/>
        </w:rPr>
      </w:pPr>
      <w:r>
        <w:rPr>
          <w:rFonts w:hint="eastAsia" w:ascii="仿宋" w:hAnsi="仿宋" w:eastAsia="仿宋" w:cs="仿宋"/>
          <w:color w:val="231F20"/>
          <w:spacing w:val="11"/>
          <w:sz w:val="24"/>
          <w:szCs w:val="24"/>
          <w:lang w:val="en-US" w:eastAsia="zh-CN"/>
        </w:rPr>
        <w:t>第一，</w:t>
      </w:r>
      <w:r>
        <w:rPr>
          <w:rFonts w:hint="eastAsia" w:ascii="仿宋" w:hAnsi="仿宋" w:eastAsia="仿宋" w:cs="仿宋"/>
          <w:color w:val="231F20"/>
          <w:spacing w:val="11"/>
          <w:sz w:val="24"/>
          <w:szCs w:val="24"/>
        </w:rPr>
        <w:t>实现了设施农业的智能化生产与管理。 江苏省温室大棚物联网技术应用最普遍的是，通过对环境因子的感知，智能控制温湿度、智能遮阳和智能灌溉，以及智能通风、智能防霜、二氧化碳智能控制、智能防虫等。 江宁汤山翠谷现代农业科技园 2014 年投资 3000 万元， 建设高标准生产车间 4000 平方米，利用计算机与农业物联网技术对植物实行实时监控和专家诊断管理，对农作物的温度、湿度、光照、二氧化碳浓度、营养液浓度等环境条件进行自动控制和远程控制。</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108" w:right="294" w:firstLine="419"/>
        <w:jc w:val="left"/>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第二，使畜禽实现个性化、智能化、精准化养殖。江苏省规模养殖场广泛推行养殖环境因子远程调控 和预警预报，研发应用了母猪定量饲喂、发情侦测、防疫标识等环节的智能化控制系统。江苏康乐农牧公司引进的智能化母猪电子饲喂系统（ESF），通过对每头母猪耳朵上的接收器耳标的标记识别， 进行控制操作，对所有母猪进行单独饲喂。 EPR 企业管理系统应用于生猪生产的各个流程， 从饲料加工到母猪配种、分娩、保育、育肥及销售的各个环节，实现全程标准化、智能化运行，并通过网络实现远程调控。</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leftChars="0" w:right="0" w:firstLine="521" w:firstLineChars="199"/>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第三，水产养殖的智能增氧和定量投饵。 水产养殖的物联网技术主要应用于鱼、虾、蟹养殖。宜兴市政府在鹏鹞生态园内开展 1000 亩水产物联网技术试点，在蟹塘内安装传感器实时探测塘池溶氧量，通过无线传输设备将控制信号及时发送至控制器，实现蟹塘抢救性增氧向保健性增氧的转变，在全程自动化运作机制下保障河蟹养殖安全。</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108" w:right="294" w:firstLine="419"/>
        <w:jc w:val="left"/>
        <w:textAlignment w:val="auto"/>
        <w:rPr>
          <w:rFonts w:hint="eastAsia" w:ascii="仿宋" w:hAnsi="仿宋" w:eastAsia="仿宋" w:cs="仿宋"/>
          <w:color w:val="231F20"/>
          <w:spacing w:val="11"/>
          <w:sz w:val="24"/>
          <w:szCs w:val="24"/>
        </w:rPr>
      </w:pPr>
      <w:r>
        <w:rPr>
          <w:rFonts w:hint="eastAsia" w:ascii="仿宋" w:hAnsi="仿宋" w:eastAsia="仿宋" w:cs="仿宋"/>
          <w:color w:val="231F20"/>
          <w:spacing w:val="11"/>
          <w:sz w:val="24"/>
          <w:szCs w:val="24"/>
        </w:rPr>
        <w:t>第四，对大田作物种植的实时监控。 江苏各地还积极开展水稻、茶场等露地大田农作物的物联网技术应用。 锡山区 2000 亩太湖水稻示范园应用远程操控系统结合精准灌溉和作物传感器技术，利用田间小型气象站监控田间水位；利用土壤湿度、土壤墒情等可移动式传感器检测土壤情况；利用远程灌溉控制系统实现蒸腾蒸发量检测及自动化灌溉。宜兴兰山茶场在茶叶防霜和茶园喷灌领域应用物联网技术实现实时监控和精准防霜喷灌控制。</w:t>
      </w:r>
    </w:p>
    <w:p>
      <w:pPr>
        <w:pStyle w:val="2"/>
        <w:keepNext w:val="0"/>
        <w:keepLines w:val="0"/>
        <w:pageBreakBefore w:val="0"/>
        <w:widowControl w:val="0"/>
        <w:kinsoku/>
        <w:wordWrap/>
        <w:overflowPunct/>
        <w:topLinePunct w:val="0"/>
        <w:autoSpaceDE/>
        <w:autoSpaceDN/>
        <w:bidi w:val="0"/>
        <w:adjustRightInd/>
        <w:snapToGrid/>
        <w:spacing w:before="0" w:afterAutospacing="0" w:line="360" w:lineRule="auto"/>
        <w:ind w:right="0"/>
        <w:textAlignment w:val="auto"/>
        <w:rPr>
          <w:rFonts w:hint="eastAsia" w:ascii="仿宋" w:hAnsi="仿宋" w:eastAsia="仿宋" w:cs="仿宋"/>
          <w:b w:val="0"/>
          <w:bCs/>
          <w:color w:val="231F20"/>
          <w:spacing w:val="11"/>
          <w:sz w:val="24"/>
          <w:szCs w:val="24"/>
          <w:lang w:val="ro-RO" w:eastAsia="ro-RO" w:bidi="ro-RO"/>
        </w:rPr>
      </w:pPr>
      <w:r>
        <w:rPr>
          <w:rFonts w:hint="eastAsia" w:ascii="仿宋" w:hAnsi="仿宋" w:eastAsia="仿宋" w:cs="仿宋"/>
          <w:b w:val="0"/>
          <w:bCs/>
          <w:color w:val="231F20"/>
          <w:spacing w:val="11"/>
          <w:sz w:val="24"/>
          <w:szCs w:val="24"/>
          <w:lang w:val="ro-RO" w:eastAsia="ro-RO" w:bidi="ro-RO"/>
        </w:rPr>
        <w:t>二、物联网技术是确保绿色发展和农产品有效供给的重要措施</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19"/>
        <w:textAlignment w:val="auto"/>
        <w:rPr>
          <w:rFonts w:hint="eastAsia" w:ascii="仿宋" w:hAnsi="仿宋" w:eastAsia="仿宋" w:cs="仿宋"/>
          <w:color w:val="231F20"/>
          <w:spacing w:val="11"/>
          <w:sz w:val="24"/>
          <w:szCs w:val="24"/>
          <w:lang w:val="ro-RO" w:eastAsia="ro-RO" w:bidi="ro-RO"/>
        </w:rPr>
      </w:pPr>
      <w:r>
        <w:rPr>
          <w:rFonts w:hint="eastAsia" w:ascii="仿宋" w:hAnsi="仿宋" w:eastAsia="仿宋" w:cs="仿宋"/>
          <w:color w:val="231F20"/>
          <w:spacing w:val="11"/>
          <w:sz w:val="24"/>
          <w:szCs w:val="24"/>
          <w:lang w:val="ro-RO" w:eastAsia="ro-RO" w:bidi="ro-RO"/>
        </w:rPr>
        <w:t>我们在江苏省范围内有针对性地遴选具有一定规模的农业物联网应用企业（农户）72 家，进行访谈和问卷调查，结果显示，农业物联网应用效果明显。</w:t>
      </w:r>
    </w:p>
    <w:p>
      <w:pPr>
        <w:pStyle w:val="15"/>
        <w:keepNext w:val="0"/>
        <w:keepLines w:val="0"/>
        <w:pageBreakBefore w:val="0"/>
        <w:widowControl w:val="0"/>
        <w:numPr>
          <w:ilvl w:val="0"/>
          <w:numId w:val="0"/>
        </w:numPr>
        <w:tabs>
          <w:tab w:val="left" w:pos="923"/>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sz w:val="24"/>
          <w:szCs w:val="24"/>
          <w:lang w:val="ro-RO" w:eastAsia="ro-RO" w:bidi="ro-RO"/>
        </w:rPr>
      </w:pPr>
      <w:r>
        <w:rPr>
          <w:rFonts w:hint="eastAsia" w:ascii="仿宋" w:hAnsi="仿宋" w:eastAsia="仿宋" w:cs="仿宋"/>
          <w:color w:val="231F20"/>
          <w:spacing w:val="11"/>
          <w:sz w:val="24"/>
          <w:szCs w:val="24"/>
          <w:lang w:val="en-US" w:eastAsia="zh-CN" w:bidi="ro-RO"/>
        </w:rPr>
        <w:t>1.</w:t>
      </w:r>
      <w:r>
        <w:rPr>
          <w:rFonts w:hint="eastAsia" w:ascii="仿宋" w:hAnsi="仿宋" w:eastAsia="仿宋" w:cs="仿宋"/>
          <w:color w:val="231F20"/>
          <w:spacing w:val="11"/>
          <w:sz w:val="24"/>
          <w:szCs w:val="24"/>
          <w:lang w:val="ro-RO" w:eastAsia="ro-RO" w:bidi="ro-RO"/>
        </w:rPr>
        <w:t>节省劳动用工、提高经济效益效果显著</w:t>
      </w:r>
    </w:p>
    <w:p>
      <w:pPr>
        <w:keepNext w:val="0"/>
        <w:keepLines w:val="0"/>
        <w:pageBreakBefore w:val="0"/>
        <w:widowControl w:val="0"/>
        <w:kinsoku/>
        <w:wordWrap/>
        <w:overflowPunct/>
        <w:topLinePunct w:val="0"/>
        <w:autoSpaceDE/>
        <w:autoSpaceDN/>
        <w:bidi w:val="0"/>
        <w:adjustRightInd/>
        <w:snapToGrid/>
        <w:spacing w:afterAutospacing="0" w:line="360" w:lineRule="auto"/>
        <w:ind w:left="0" w:right="0" w:firstLine="424"/>
        <w:jc w:val="both"/>
        <w:textAlignment w:val="auto"/>
        <w:rPr>
          <w:rFonts w:hint="eastAsia" w:ascii="仿宋" w:hAnsi="仿宋" w:eastAsia="仿宋" w:cs="仿宋"/>
          <w:color w:val="231F20"/>
          <w:spacing w:val="11"/>
          <w:sz w:val="24"/>
          <w:szCs w:val="24"/>
          <w:lang w:val="ro-RO" w:eastAsia="ro-RO" w:bidi="ro-RO"/>
        </w:rPr>
      </w:pPr>
      <w:r>
        <w:rPr>
          <w:rFonts w:hint="eastAsia" w:ascii="仿宋" w:hAnsi="仿宋" w:eastAsia="仿宋" w:cs="仿宋"/>
          <w:color w:val="231F20"/>
          <w:spacing w:val="11"/>
          <w:sz w:val="24"/>
          <w:szCs w:val="24"/>
          <w:lang w:val="ro-RO" w:eastAsia="ro-RO" w:bidi="ro-RO"/>
        </w:rPr>
        <w:t>应用农业物联网技术的效果，一是节省劳动用工</w:t>
      </w:r>
      <w:r>
        <w:rPr>
          <w:rFonts w:hint="eastAsia" w:ascii="仿宋" w:hAnsi="仿宋" w:eastAsia="仿宋" w:cs="仿宋"/>
          <w:color w:val="231F20"/>
          <w:spacing w:val="11"/>
          <w:sz w:val="24"/>
          <w:szCs w:val="24"/>
          <w:lang w:val="en-US" w:eastAsia="zh-CN" w:bidi="ro-RO"/>
        </w:rPr>
        <w:t>,</w:t>
      </w:r>
      <w:r>
        <w:rPr>
          <w:rFonts w:hint="eastAsia" w:ascii="仿宋" w:hAnsi="仿宋" w:eastAsia="仿宋" w:cs="仿宋"/>
          <w:color w:val="231F20"/>
          <w:spacing w:val="11"/>
          <w:sz w:val="24"/>
          <w:szCs w:val="24"/>
          <w:lang w:val="ro-RO" w:eastAsia="ro-RO" w:bidi="ro-RO"/>
        </w:rPr>
        <w:t>认为可以节省 5－10％占 37．7％， 节省 11－15％占36</w:t>
      </w:r>
      <w:r>
        <w:rPr>
          <w:rFonts w:hint="eastAsia" w:ascii="仿宋" w:hAnsi="仿宋" w:eastAsia="仿宋" w:cs="仿宋"/>
          <w:color w:val="231F20"/>
          <w:spacing w:val="11"/>
          <w:sz w:val="24"/>
          <w:szCs w:val="24"/>
          <w:lang w:val="en-US" w:eastAsia="zh-CN" w:bidi="ro-RO"/>
        </w:rPr>
        <w:t>.</w:t>
      </w:r>
      <w:r>
        <w:rPr>
          <w:rFonts w:hint="eastAsia" w:ascii="仿宋" w:hAnsi="仿宋" w:eastAsia="仿宋" w:cs="仿宋"/>
          <w:color w:val="231F20"/>
          <w:spacing w:val="11"/>
          <w:sz w:val="24"/>
          <w:szCs w:val="24"/>
          <w:lang w:val="ro-RO" w:eastAsia="ro-RO" w:bidi="ro-RO"/>
        </w:rPr>
        <w:t>07％；二是增加产量，认为可以增加 5－10％ 占56．14％，增加 11－15％占 29．82％；三是提高经济效益，认为可以提高 5－10％占46</w:t>
      </w:r>
      <w:r>
        <w:rPr>
          <w:rFonts w:hint="eastAsia" w:ascii="仿宋" w:hAnsi="仿宋" w:eastAsia="仿宋" w:cs="仿宋"/>
          <w:color w:val="231F20"/>
          <w:spacing w:val="11"/>
          <w:sz w:val="24"/>
          <w:szCs w:val="24"/>
          <w:lang w:val="en-US" w:eastAsia="zh-CN" w:bidi="ro-RO"/>
        </w:rPr>
        <w:t>.</w:t>
      </w:r>
      <w:r>
        <w:rPr>
          <w:rFonts w:hint="eastAsia" w:ascii="仿宋" w:hAnsi="仿宋" w:eastAsia="仿宋" w:cs="仿宋"/>
          <w:color w:val="231F20"/>
          <w:spacing w:val="11"/>
          <w:sz w:val="24"/>
          <w:szCs w:val="24"/>
          <w:lang w:val="ro-RO" w:eastAsia="ro-RO" w:bidi="ro-RO"/>
        </w:rPr>
        <w:t>03％，提高11－15％占36．51％。常州家绿林果园艺有限公司，2012 年投资 2亿元建设了植物工厂，利用计算机物联网技术、环境  自动控制技术等进行植物周年连续生产的系统，对植物生育的环境条件进行智能控制，从播种、催芽、育苗、栽培到采收，都由机器人完成。 现有生产园区3个，建有智能温室 15 万平方米，年销售额 1</w:t>
      </w:r>
      <w:r>
        <w:rPr>
          <w:rFonts w:hint="eastAsia" w:ascii="仿宋" w:hAnsi="仿宋" w:eastAsia="仿宋" w:cs="仿宋"/>
          <w:color w:val="231F20"/>
          <w:spacing w:val="11"/>
          <w:sz w:val="24"/>
          <w:szCs w:val="24"/>
          <w:lang w:val="en-US" w:eastAsia="zh-CN" w:bidi="ro-RO"/>
        </w:rPr>
        <w:t>.</w:t>
      </w:r>
      <w:r>
        <w:rPr>
          <w:rFonts w:hint="eastAsia" w:ascii="仿宋" w:hAnsi="仿宋" w:eastAsia="仿宋" w:cs="仿宋"/>
          <w:color w:val="231F20"/>
          <w:spacing w:val="11"/>
          <w:sz w:val="24"/>
          <w:szCs w:val="24"/>
          <w:lang w:val="ro-RO" w:eastAsia="ro-RO" w:bidi="ro-RO"/>
        </w:rPr>
        <w:t>37亿元， 共有80多名员工，真正从事一线生产的工人只有20多个，物联网技术的应用使 1个工人可以顶 100 个。</w:t>
      </w:r>
    </w:p>
    <w:p>
      <w:pPr>
        <w:pStyle w:val="15"/>
        <w:keepNext w:val="0"/>
        <w:keepLines w:val="0"/>
        <w:pageBreakBefore w:val="0"/>
        <w:widowControl w:val="0"/>
        <w:numPr>
          <w:ilvl w:val="0"/>
          <w:numId w:val="0"/>
        </w:numPr>
        <w:tabs>
          <w:tab w:val="left" w:pos="927"/>
        </w:tabs>
        <w:kinsoku/>
        <w:wordWrap/>
        <w:overflowPunct/>
        <w:topLinePunct w:val="0"/>
        <w:autoSpaceDE/>
        <w:autoSpaceDN/>
        <w:bidi w:val="0"/>
        <w:adjustRightInd/>
        <w:snapToGrid/>
        <w:spacing w:before="0" w:after="0" w:afterAutospacing="0" w:line="360" w:lineRule="auto"/>
        <w:ind w:right="0" w:rightChars="0" w:firstLine="524" w:firstLineChars="200"/>
        <w:jc w:val="both"/>
        <w:textAlignment w:val="auto"/>
        <w:rPr>
          <w:rFonts w:hint="eastAsia" w:ascii="仿宋" w:hAnsi="仿宋" w:eastAsia="仿宋" w:cs="仿宋"/>
          <w:color w:val="231F20"/>
          <w:spacing w:val="11"/>
          <w:sz w:val="24"/>
          <w:szCs w:val="24"/>
          <w:lang w:val="ro-RO" w:eastAsia="ro-RO" w:bidi="ro-RO"/>
        </w:rPr>
      </w:pPr>
      <w:r>
        <w:rPr>
          <w:rFonts w:hint="eastAsia" w:ascii="仿宋" w:hAnsi="仿宋" w:eastAsia="仿宋" w:cs="仿宋"/>
          <w:color w:val="231F20"/>
          <w:spacing w:val="11"/>
          <w:sz w:val="24"/>
          <w:szCs w:val="24"/>
          <w:lang w:val="en-US" w:eastAsia="zh-CN" w:bidi="ro-RO"/>
        </w:rPr>
        <w:t>2.</w:t>
      </w:r>
      <w:r>
        <w:rPr>
          <w:rFonts w:hint="eastAsia" w:ascii="仿宋" w:hAnsi="仿宋" w:eastAsia="仿宋" w:cs="仿宋"/>
          <w:color w:val="231F20"/>
          <w:spacing w:val="11"/>
          <w:sz w:val="24"/>
          <w:szCs w:val="24"/>
          <w:lang w:val="ro-RO" w:eastAsia="ro-RO" w:bidi="ro-RO"/>
        </w:rPr>
        <w:t>省时省力和提高农产品质量的优势获得普遍认可</w:t>
      </w:r>
    </w:p>
    <w:p>
      <w:pPr>
        <w:keepNext w:val="0"/>
        <w:keepLines w:val="0"/>
        <w:pageBreakBefore w:val="0"/>
        <w:widowControl w:val="0"/>
        <w:kinsoku/>
        <w:wordWrap/>
        <w:overflowPunct/>
        <w:topLinePunct w:val="0"/>
        <w:autoSpaceDE/>
        <w:autoSpaceDN/>
        <w:bidi w:val="0"/>
        <w:adjustRightInd/>
        <w:snapToGrid/>
        <w:spacing w:afterAutospacing="0" w:line="360" w:lineRule="auto"/>
        <w:ind w:left="0" w:right="0" w:firstLine="424"/>
        <w:jc w:val="both"/>
        <w:textAlignment w:val="auto"/>
        <w:rPr>
          <w:rFonts w:hint="eastAsia" w:ascii="仿宋" w:hAnsi="仿宋" w:eastAsia="仿宋" w:cs="仿宋"/>
          <w:sz w:val="24"/>
          <w:szCs w:val="24"/>
        </w:rPr>
      </w:pPr>
      <w:r>
        <w:rPr>
          <w:rFonts w:hint="eastAsia" w:ascii="仿宋" w:hAnsi="仿宋" w:eastAsia="仿宋" w:cs="仿宋"/>
          <w:color w:val="231F20"/>
          <w:spacing w:val="11"/>
          <w:sz w:val="24"/>
          <w:szCs w:val="24"/>
          <w:lang w:val="ro-RO" w:eastAsia="ro-RO" w:bidi="ro-RO"/>
        </w:rPr>
        <w:t>应用物联网的综合效果，选“简化农业生产过程 管理，省时、省力”的占 89．71％，选“农产品质量品种显著提高”的占 54．41％，选“农业机械运行效率提高” 的占 35．29％。 物联网技术在 “简化农业生产过程管理、节约劳动时间、降低劳动强度”和“提高农产品质量”上的优势获得较普遍认可。农业物联网的应用，实现了农业的精准化生产，大大减少了肥、水、料的施用，降低生产成本。江苏新坤兴生态农业有限公司投入 71 万元购置自动增温系统、 电子耳标可追溯</w:t>
      </w:r>
      <w:r>
        <w:rPr>
          <w:rFonts w:hint="eastAsia" w:ascii="仿宋" w:hAnsi="仿宋" w:eastAsia="仿宋" w:cs="仿宋"/>
          <w:color w:val="231F20"/>
          <w:spacing w:val="11"/>
          <w:sz w:val="24"/>
          <w:szCs w:val="24"/>
          <w:lang w:val="ro-RO" w:eastAsia="zh-CN" w:bidi="ro-RO"/>
        </w:rPr>
        <w:t>系统</w:t>
      </w:r>
      <w:r>
        <w:rPr>
          <w:rFonts w:hint="eastAsia" w:ascii="仿宋" w:hAnsi="仿宋" w:eastAsia="仿宋" w:cs="仿宋"/>
          <w:color w:val="231F20"/>
          <w:spacing w:val="11"/>
          <w:sz w:val="24"/>
          <w:szCs w:val="24"/>
          <w:lang w:val="ro-RO" w:eastAsia="ro-RO" w:bidi="ro-RO"/>
        </w:rPr>
        <w:t>等物联网设备与技术，提高生猪饲养的精确性，生猪饲养的料肉比由 3．3：1 降低至 3．0：1，仅此一项每年节省30万元左右的成本。</w:t>
      </w:r>
    </w:p>
    <w:p>
      <w:pPr>
        <w:pStyle w:val="15"/>
        <w:keepNext w:val="0"/>
        <w:keepLines w:val="0"/>
        <w:pageBreakBefore w:val="0"/>
        <w:widowControl w:val="0"/>
        <w:numPr>
          <w:ilvl w:val="0"/>
          <w:numId w:val="0"/>
        </w:numPr>
        <w:tabs>
          <w:tab w:val="left" w:pos="923"/>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3.</w:t>
      </w:r>
      <w:r>
        <w:rPr>
          <w:rFonts w:hint="eastAsia" w:ascii="仿宋" w:hAnsi="仿宋" w:eastAsia="仿宋" w:cs="仿宋"/>
          <w:color w:val="231F20"/>
          <w:spacing w:val="11"/>
          <w:kern w:val="2"/>
          <w:sz w:val="24"/>
          <w:szCs w:val="24"/>
          <w:lang w:val="ro-RO" w:eastAsia="ro-RO" w:bidi="ro-RO"/>
        </w:rPr>
        <w:t>有效促进农产品溯源与质量安全控制的实现</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25"/>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应用物联网技术， 集成应用条形码、 二维码、RFID 电子标签、传感器、通讯和计算机网络，通过农产品标识化可以加大对农产品从生产、流通到销售整个流程的监管，完善农产品安全追溯系统，保障农产品安全。无锡市锡山区台创园利用基于公网的分布式农业物联网信息服务体系架构和开放、可扩展的农业物联网应用服务支撑平台，集成农产品追溯查询系统，消费者只要扫描农产品包装上的二维码，就可以登陆农产品追溯查询系统， 查明农产品从作物定植、生长、采收、运输、仓储到销售的全供应链过程。</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19"/>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此外，通过信息化管理，可大大减少资源的浪费， 改善自然环境，带来良好的生态效益。</w:t>
      </w:r>
    </w:p>
    <w:p>
      <w:pPr>
        <w:pStyle w:val="15"/>
        <w:keepNext w:val="0"/>
        <w:keepLines w:val="0"/>
        <w:pageBreakBefore w:val="0"/>
        <w:widowControl w:val="0"/>
        <w:numPr>
          <w:ilvl w:val="0"/>
          <w:numId w:val="0"/>
        </w:numPr>
        <w:tabs>
          <w:tab w:val="left" w:pos="754"/>
        </w:tabs>
        <w:kinsoku/>
        <w:wordWrap/>
        <w:overflowPunct/>
        <w:topLinePunct w:val="0"/>
        <w:autoSpaceDE/>
        <w:autoSpaceDN/>
        <w:bidi w:val="0"/>
        <w:adjustRightInd/>
        <w:snapToGrid/>
        <w:spacing w:after="0" w:afterAutospacing="0" w:line="360" w:lineRule="auto"/>
        <w:ind w:left="0" w:leftChars="0" w:right="0" w:rightChars="0" w:firstLine="544" w:firstLineChars="200"/>
        <w:jc w:val="both"/>
        <w:textAlignment w:val="auto"/>
        <w:rPr>
          <w:rFonts w:hint="eastAsia" w:ascii="仿宋" w:hAnsi="仿宋" w:eastAsia="仿宋" w:cs="仿宋"/>
          <w:color w:val="231F20"/>
          <w:sz w:val="24"/>
          <w:szCs w:val="24"/>
        </w:rPr>
      </w:pPr>
      <w:r>
        <w:rPr>
          <w:rFonts w:hint="eastAsia" w:ascii="仿宋" w:hAnsi="仿宋" w:eastAsia="仿宋" w:cs="仿宋"/>
          <w:color w:val="231F20"/>
          <w:spacing w:val="10"/>
          <w:w w:val="105"/>
          <w:sz w:val="24"/>
          <w:szCs w:val="24"/>
          <w:lang w:val="en-US" w:eastAsia="zh-CN"/>
        </w:rPr>
        <w:t>4.</w:t>
      </w:r>
      <w:r>
        <w:rPr>
          <w:rFonts w:hint="eastAsia" w:ascii="仿宋" w:hAnsi="仿宋" w:eastAsia="仿宋" w:cs="仿宋"/>
          <w:color w:val="231F20"/>
          <w:spacing w:val="10"/>
          <w:w w:val="105"/>
          <w:sz w:val="24"/>
          <w:szCs w:val="24"/>
        </w:rPr>
        <w:t>农业物联网技术和产品自身存在的问题较多</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25"/>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调研中农户对物联网技术和设施的不满颇多，问卷也显示认为设备的 “耐久度和稳定性”、“ 可操作性”、“运行维护成本”和“生产成本、价格”、“精确度和准确性”需要提高的比率都超过 50％。第一，产品质量较差，国内有农业物联网生产企业数百家，但生产的设备好用且流畅的很少，设备的耐久度、稳定性差。第二，产品成本高。农业物联网尚在实验阶段，投入大、市场小导致价格偏高，物联网在农业领域的应用需要一整套设备支撑，包括传感器、传输设备、控制器等，并需要一系列机械化的配套设施，建设和运行成本较高，企业必须有非常大的实力才用得起物联网。第三，数百家农业物联网生产企业中，具有一定规模、专业化、系统化的生产企业不多，农业物联网技术的档次和成熟度、精确度较低，农业应用系统功能较弱、领域偏窄，无法满足用户需求，导致用户的接受度不高。</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25"/>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农业物联网技术还处在试验阶段， 关键设备、核心技术及集成体系成熟度较低。 第一， 核心软件专家决策咨询系统的空白，成了农业物联网发展的瓶颈。专家决策系统的研究很细致， 如某种农作物种植在何种情况下效果最好，需要深入田地</w:t>
      </w:r>
      <w:r>
        <w:rPr>
          <w:rFonts w:hint="eastAsia" w:ascii="仿宋" w:hAnsi="仿宋" w:eastAsia="仿宋" w:cs="仿宋"/>
          <w:color w:val="231F20"/>
          <w:spacing w:val="11"/>
          <w:kern w:val="2"/>
          <w:sz w:val="24"/>
          <w:szCs w:val="24"/>
          <w:lang w:val="ro-RO" w:eastAsia="zh-CN" w:bidi="ro-RO"/>
        </w:rPr>
        <w:t>，</w:t>
      </w:r>
      <w:r>
        <w:rPr>
          <w:rFonts w:hint="eastAsia" w:ascii="仿宋" w:hAnsi="仿宋" w:eastAsia="仿宋" w:cs="仿宋"/>
          <w:color w:val="231F20"/>
          <w:spacing w:val="11"/>
          <w:kern w:val="2"/>
          <w:sz w:val="24"/>
          <w:szCs w:val="24"/>
          <w:lang w:val="ro-RO" w:eastAsia="ro-RO" w:bidi="ro-RO"/>
        </w:rPr>
        <w:t>需要经验的积累，目前从事此类研究的人极少，而且过去的种田模式多是经验性总结，缺乏科学性细节，导致我国的专家决策咨询系统从 20 年前到现在一直是用国外的。 第二，传感器作为物联网核心硬件设备，虽然生产厂家、产品较多，但是普遍存在成本高、质量差、稳定性低、精确度低的问题，而且监测的指标有限，主要是温度、湿度、溶解氧、Ph 值、风速等，对于土壤肥力、病虫害、作物生长状况难以监测，限制了效用发挥。第三，大田物联网尚处试验阶段、进展慢， 有县市依托高校开展了通过叶子的透光度光谱测定肥力的实验， 但尚未发展到应用</w:t>
      </w:r>
      <w:r>
        <w:rPr>
          <w:rFonts w:hint="eastAsia" w:ascii="仿宋" w:hAnsi="仿宋" w:eastAsia="仿宋" w:cs="仿宋"/>
          <w:color w:val="231F20"/>
          <w:spacing w:val="11"/>
          <w:kern w:val="2"/>
          <w:sz w:val="24"/>
          <w:szCs w:val="24"/>
          <w:lang w:val="ro-RO" w:eastAsia="zh-CN" w:bidi="ro-RO"/>
        </w:rPr>
        <w:t>层</w:t>
      </w:r>
      <w:r>
        <w:rPr>
          <w:rFonts w:hint="eastAsia" w:ascii="仿宋" w:hAnsi="仿宋" w:eastAsia="仿宋" w:cs="仿宋"/>
          <w:color w:val="231F20"/>
          <w:spacing w:val="11"/>
          <w:kern w:val="2"/>
          <w:sz w:val="24"/>
          <w:szCs w:val="24"/>
          <w:lang w:val="ro-RO" w:eastAsia="ro-RO" w:bidi="ro-RO"/>
        </w:rPr>
        <w:t>面，病虫害防治难以突破。</w:t>
      </w:r>
    </w:p>
    <w:p>
      <w:pPr>
        <w:pStyle w:val="15"/>
        <w:keepNext w:val="0"/>
        <w:keepLines w:val="0"/>
        <w:pageBreakBefore w:val="0"/>
        <w:widowControl w:val="0"/>
        <w:numPr>
          <w:ilvl w:val="0"/>
          <w:numId w:val="0"/>
        </w:numPr>
        <w:tabs>
          <w:tab w:val="left" w:pos="927"/>
        </w:tabs>
        <w:kinsoku/>
        <w:wordWrap/>
        <w:overflowPunct/>
        <w:topLinePunct w:val="0"/>
        <w:autoSpaceDE/>
        <w:autoSpaceDN/>
        <w:bidi w:val="0"/>
        <w:adjustRightInd/>
        <w:snapToGrid/>
        <w:spacing w:after="0" w:afterAutospacing="0" w:line="360" w:lineRule="auto"/>
        <w:ind w:left="0" w:leftChars="0" w:right="0" w:rightChars="0" w:firstLine="524" w:firstLineChars="200"/>
        <w:jc w:val="left"/>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5.</w:t>
      </w:r>
      <w:r>
        <w:rPr>
          <w:rFonts w:hint="eastAsia" w:ascii="仿宋" w:hAnsi="仿宋" w:eastAsia="仿宋" w:cs="仿宋"/>
          <w:color w:val="231F20"/>
          <w:spacing w:val="11"/>
          <w:kern w:val="2"/>
          <w:sz w:val="24"/>
          <w:szCs w:val="24"/>
          <w:lang w:val="ro-RO" w:eastAsia="ro-RO" w:bidi="ro-RO"/>
        </w:rPr>
        <w:t>政府支持农业物联网的力度不够且效果不明显</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(1)</w:t>
      </w:r>
      <w:r>
        <w:rPr>
          <w:rFonts w:hint="eastAsia" w:ascii="仿宋" w:hAnsi="仿宋" w:eastAsia="仿宋" w:cs="仿宋"/>
          <w:color w:val="231F20"/>
          <w:spacing w:val="11"/>
          <w:kern w:val="2"/>
          <w:sz w:val="24"/>
          <w:szCs w:val="24"/>
          <w:lang w:val="ro-RO" w:eastAsia="ro-RO" w:bidi="ro-RO"/>
        </w:rPr>
        <w:t>资金支持力度不够。我们调查的 65 家物联网应用较好的企业，历年共收到政府各类投资平均每家43．4 万元，占总投资的 14．49％，这与工业项目动辄几百万、上千万的政府投资是没法比的；农业物联网产品没有纳入农机补贴，在农业项目投资中也未能受到重视。其投资来源以县市政府为主，占48．76％，农业部对江苏省农业物联网没有每年的固定投入，只偶尔以项目形式投资，占投资总量的 12．31％，省级投资占38．73％，主要来自省农委。投入的产出不明显，政府对投入收益的监控基本是空白的：科研经费的投入难以取得实效，迟迟不能产生可供应用的成果；投资较  大的示范基地建设没有推广的可行性</w:t>
      </w:r>
      <w:r>
        <w:rPr>
          <w:rFonts w:hint="eastAsia" w:ascii="仿宋" w:hAnsi="仿宋" w:eastAsia="仿宋" w:cs="仿宋"/>
          <w:color w:val="231F20"/>
          <w:spacing w:val="11"/>
          <w:kern w:val="2"/>
          <w:sz w:val="24"/>
          <w:szCs w:val="24"/>
          <w:lang w:val="en-US" w:eastAsia="zh-CN" w:bidi="ro-RO"/>
        </w:rPr>
        <w:t>,</w:t>
      </w:r>
      <w:r>
        <w:rPr>
          <w:rFonts w:hint="eastAsia" w:ascii="仿宋" w:hAnsi="仿宋" w:eastAsia="仿宋" w:cs="仿宋"/>
          <w:color w:val="231F20"/>
          <w:spacing w:val="11"/>
          <w:kern w:val="2"/>
          <w:sz w:val="24"/>
          <w:szCs w:val="24"/>
          <w:lang w:val="ro-RO" w:eastAsia="ro-RO" w:bidi="ro-RO"/>
        </w:rPr>
        <w:t>有些只是个样板甚至沦为形象工程；对生产企业的补贴，无法惠及末端使用者，政府补贴的企业有时反而产品价格更贵、质量更差。</w:t>
      </w:r>
    </w:p>
    <w:p>
      <w:pPr>
        <w:pStyle w:val="15"/>
        <w:keepNext w:val="0"/>
        <w:keepLines w:val="0"/>
        <w:pageBreakBefore w:val="0"/>
        <w:widowControl w:val="0"/>
        <w:numPr>
          <w:ilvl w:val="0"/>
          <w:numId w:val="0"/>
        </w:numPr>
        <w:tabs>
          <w:tab w:val="left" w:pos="1016"/>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(2)</w:t>
      </w:r>
      <w:r>
        <w:rPr>
          <w:rFonts w:hint="eastAsia" w:ascii="仿宋" w:hAnsi="仿宋" w:eastAsia="仿宋" w:cs="仿宋"/>
          <w:color w:val="231F20"/>
          <w:spacing w:val="11"/>
          <w:kern w:val="2"/>
          <w:sz w:val="24"/>
          <w:szCs w:val="24"/>
          <w:lang w:val="ro-RO" w:eastAsia="ro-RO" w:bidi="ro-RO"/>
        </w:rPr>
        <w:t>政策支持力度不够，农业物联网的发展处于</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524" w:firstLineChars="200"/>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无章可循的状态。第一，扶持政策缺失，没有把农业物联网作为独立的、有发展前景的内容扶持。第二，标准体系建设滞后，对于农业物联网包含什么内容、选取什么指标等基本问题尚未明确，导致各生产厂家自定标准，互不兼容。第三，缺少国家认证，对农产品溯源系统缺乏权威认证导致产品的附加值无法获得消费者认可。</w:t>
      </w:r>
    </w:p>
    <w:p>
      <w:pPr>
        <w:pStyle w:val="2"/>
        <w:keepNext w:val="0"/>
        <w:keepLines w:val="0"/>
        <w:pageBreakBefore w:val="0"/>
        <w:widowControl w:val="0"/>
        <w:kinsoku/>
        <w:wordWrap/>
        <w:overflowPunct/>
        <w:topLinePunct w:val="0"/>
        <w:autoSpaceDE/>
        <w:autoSpaceDN/>
        <w:bidi w:val="0"/>
        <w:adjustRightInd/>
        <w:snapToGrid/>
        <w:spacing w:before="0" w:afterAutospacing="0" w:line="360" w:lineRule="auto"/>
        <w:ind w:left="940" w:leftChars="228" w:right="0" w:hanging="393" w:hangingChars="150"/>
        <w:textAlignment w:val="auto"/>
        <w:rPr>
          <w:rFonts w:hint="eastAsia" w:ascii="仿宋" w:hAnsi="仿宋" w:eastAsia="仿宋" w:cs="仿宋"/>
          <w:b w:val="0"/>
          <w:bCs/>
          <w:color w:val="231F20"/>
          <w:spacing w:val="11"/>
          <w:kern w:val="2"/>
          <w:sz w:val="24"/>
          <w:szCs w:val="24"/>
          <w:lang w:val="ro-RO" w:eastAsia="ro-RO" w:bidi="ro-RO"/>
        </w:rPr>
      </w:pPr>
      <w:r>
        <w:rPr>
          <w:rFonts w:hint="eastAsia" w:ascii="仿宋" w:hAnsi="仿宋" w:eastAsia="仿宋" w:cs="仿宋"/>
          <w:b w:val="0"/>
          <w:bCs/>
          <w:color w:val="231F20"/>
          <w:spacing w:val="11"/>
          <w:kern w:val="2"/>
          <w:sz w:val="24"/>
          <w:szCs w:val="24"/>
          <w:lang w:val="ro-RO" w:eastAsia="ro-RO" w:bidi="ro-RO"/>
        </w:rPr>
        <w:t>四、构建政策支持体系，加快农业物联网发展步伐</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413"/>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2016 年中央一号文件 “关于落实发展新理念加快农业现代化实现全面小康目标的若干意见” 提出： 大力推进“互联网＋”现代农业，应用物联网、云计算、大数据、移动互联等现代信息技术，推动农业全产业链改造升级。 加快推进农业物联网建设，是贯彻落实中央一号文件精神的重要举措。</w:t>
      </w:r>
    </w:p>
    <w:p>
      <w:pPr>
        <w:pStyle w:val="15"/>
        <w:keepNext w:val="0"/>
        <w:keepLines w:val="0"/>
        <w:pageBreakBefore w:val="0"/>
        <w:widowControl w:val="0"/>
        <w:numPr>
          <w:ilvl w:val="0"/>
          <w:numId w:val="0"/>
        </w:numPr>
        <w:tabs>
          <w:tab w:val="left" w:pos="923"/>
        </w:tabs>
        <w:kinsoku/>
        <w:wordWrap/>
        <w:overflowPunct/>
        <w:topLinePunct w:val="0"/>
        <w:autoSpaceDE/>
        <w:autoSpaceDN/>
        <w:bidi w:val="0"/>
        <w:adjustRightInd/>
        <w:snapToGrid/>
        <w:spacing w:after="0" w:afterAutospacing="0" w:line="360" w:lineRule="auto"/>
        <w:ind w:left="-234" w:leftChars="0" w:right="0" w:rightChars="0" w:firstLine="786" w:firstLineChars="3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1.</w:t>
      </w:r>
      <w:r>
        <w:rPr>
          <w:rFonts w:hint="eastAsia" w:ascii="仿宋" w:hAnsi="仿宋" w:eastAsia="仿宋" w:cs="仿宋"/>
          <w:color w:val="231F20"/>
          <w:spacing w:val="11"/>
          <w:kern w:val="2"/>
          <w:sz w:val="24"/>
          <w:szCs w:val="24"/>
          <w:lang w:val="ro-RO" w:eastAsia="ro-RO" w:bidi="ro-RO"/>
        </w:rPr>
        <w:t>提高农业物联网发展重要性的意识</w:t>
      </w:r>
    </w:p>
    <w:p>
      <w:pPr>
        <w:pStyle w:val="4"/>
        <w:keepNext w:val="0"/>
        <w:keepLines w:val="0"/>
        <w:pageBreakBefore w:val="0"/>
        <w:widowControl w:val="0"/>
        <w:kinsoku/>
        <w:wordWrap/>
        <w:overflowPunct/>
        <w:topLinePunct w:val="0"/>
        <w:autoSpaceDE/>
        <w:autoSpaceDN/>
        <w:bidi w:val="0"/>
        <w:adjustRightInd/>
        <w:snapToGrid/>
        <w:spacing w:afterAutospacing="0" w:line="360" w:lineRule="auto"/>
        <w:ind w:left="0" w:right="0" w:firstLine="524" w:firstLineChars="200"/>
        <w:textAlignment w:val="auto"/>
        <w:rPr>
          <w:rFonts w:hint="eastAsia" w:ascii="仿宋" w:hAnsi="仿宋" w:eastAsia="仿宋" w:cs="仿宋"/>
          <w:sz w:val="24"/>
          <w:szCs w:val="24"/>
        </w:rPr>
      </w:pPr>
      <w:r>
        <w:rPr>
          <w:rFonts w:hint="eastAsia" w:ascii="仿宋" w:hAnsi="仿宋" w:eastAsia="仿宋" w:cs="仿宋"/>
          <w:color w:val="231F20"/>
          <w:spacing w:val="11"/>
          <w:kern w:val="2"/>
          <w:sz w:val="24"/>
          <w:szCs w:val="24"/>
          <w:lang w:val="en-US" w:eastAsia="zh-CN" w:bidi="ro-RO"/>
        </w:rPr>
        <w:t>(1)</w:t>
      </w:r>
      <w:r>
        <w:rPr>
          <w:rFonts w:hint="eastAsia" w:ascii="仿宋" w:hAnsi="仿宋" w:eastAsia="仿宋" w:cs="仿宋"/>
          <w:color w:val="231F20"/>
          <w:spacing w:val="11"/>
          <w:kern w:val="2"/>
          <w:sz w:val="24"/>
          <w:szCs w:val="24"/>
          <w:lang w:val="ro-RO" w:eastAsia="ro-RO" w:bidi="ro-RO"/>
        </w:rPr>
        <w:t>增强农业部门对农业物联网的重视程度。 对各级政府管理部门，尤其是农业部门、信息化部门的管理者，特别是在农业占产业比重较大的县市，必须加强信息化和农业物联网培训，以视频演示、到示范点现场参观等</w:t>
      </w:r>
      <w:r>
        <w:rPr>
          <w:rFonts w:hint="eastAsia" w:ascii="仿宋" w:hAnsi="仿宋" w:eastAsia="仿宋" w:cs="仿宋"/>
          <w:color w:val="231F20"/>
          <w:spacing w:val="11"/>
          <w:sz w:val="24"/>
          <w:szCs w:val="24"/>
        </w:rPr>
        <w:t>形式</w:t>
      </w:r>
      <w:r>
        <w:rPr>
          <w:rFonts w:hint="eastAsia" w:ascii="仿宋" w:hAnsi="仿宋" w:eastAsia="仿宋" w:cs="仿宋"/>
          <w:color w:val="231F20"/>
          <w:spacing w:val="5"/>
          <w:w w:val="80"/>
          <w:sz w:val="24"/>
          <w:szCs w:val="24"/>
        </w:rPr>
        <w:t>，</w:t>
      </w:r>
      <w:r>
        <w:rPr>
          <w:rFonts w:hint="eastAsia" w:ascii="仿宋" w:hAnsi="仿宋" w:eastAsia="仿宋" w:cs="仿宋"/>
          <w:color w:val="231F20"/>
          <w:spacing w:val="10"/>
          <w:sz w:val="24"/>
          <w:szCs w:val="24"/>
        </w:rPr>
        <w:t>使他们更加真切地明白农业物联</w:t>
      </w:r>
      <w:r>
        <w:rPr>
          <w:rFonts w:hint="eastAsia" w:ascii="仿宋" w:hAnsi="仿宋" w:eastAsia="仿宋" w:cs="仿宋"/>
          <w:color w:val="231F20"/>
          <w:spacing w:val="15"/>
          <w:sz w:val="24"/>
          <w:szCs w:val="24"/>
        </w:rPr>
        <w:t>网是什么</w:t>
      </w:r>
      <w:r>
        <w:rPr>
          <w:rFonts w:hint="eastAsia" w:ascii="仿宋" w:hAnsi="仿宋" w:eastAsia="仿宋" w:cs="仿宋"/>
          <w:color w:val="231F20"/>
          <w:spacing w:val="9"/>
          <w:w w:val="80"/>
          <w:sz w:val="24"/>
          <w:szCs w:val="24"/>
        </w:rPr>
        <w:t>、</w:t>
      </w:r>
      <w:r>
        <w:rPr>
          <w:rFonts w:hint="eastAsia" w:ascii="仿宋" w:hAnsi="仿宋" w:eastAsia="仿宋" w:cs="仿宋"/>
          <w:color w:val="231F20"/>
          <w:spacing w:val="15"/>
          <w:sz w:val="24"/>
          <w:szCs w:val="24"/>
        </w:rPr>
        <w:t>使用农业物联网后能取得什么效果</w:t>
      </w:r>
      <w:r>
        <w:rPr>
          <w:rFonts w:hint="eastAsia" w:ascii="仿宋" w:hAnsi="仿宋" w:eastAsia="仿宋" w:cs="仿宋"/>
          <w:color w:val="231F20"/>
          <w:spacing w:val="11"/>
          <w:w w:val="80"/>
          <w:sz w:val="24"/>
          <w:szCs w:val="24"/>
        </w:rPr>
        <w:t>、</w:t>
      </w:r>
      <w:r>
        <w:rPr>
          <w:rFonts w:hint="eastAsia" w:ascii="仿宋" w:hAnsi="仿宋" w:eastAsia="仿宋" w:cs="仿宋"/>
          <w:color w:val="231F20"/>
          <w:spacing w:val="8"/>
          <w:sz w:val="24"/>
          <w:szCs w:val="24"/>
        </w:rPr>
        <w:t>农业</w:t>
      </w:r>
      <w:r>
        <w:rPr>
          <w:rFonts w:hint="eastAsia" w:ascii="仿宋" w:hAnsi="仿宋" w:eastAsia="仿宋" w:cs="仿宋"/>
          <w:color w:val="231F20"/>
          <w:sz w:val="24"/>
          <w:szCs w:val="24"/>
        </w:rPr>
        <w:t>物联网的使用需要什么条件</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农业物联网的使用有什么好处</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促使他们始终不忘物联网的推广</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使用这根弦</w:t>
      </w:r>
      <w:r>
        <w:rPr>
          <w:rFonts w:hint="eastAsia" w:ascii="仿宋" w:hAnsi="仿宋" w:eastAsia="仿宋" w:cs="仿宋"/>
          <w:color w:val="231F20"/>
          <w:w w:val="80"/>
          <w:sz w:val="24"/>
          <w:szCs w:val="24"/>
        </w:rPr>
        <w:t>。</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(2)</w:t>
      </w:r>
      <w:r>
        <w:rPr>
          <w:rFonts w:hint="eastAsia" w:ascii="仿宋" w:hAnsi="仿宋" w:eastAsia="仿宋" w:cs="仿宋"/>
          <w:color w:val="231F20"/>
          <w:spacing w:val="11"/>
          <w:kern w:val="2"/>
          <w:sz w:val="24"/>
          <w:szCs w:val="24"/>
          <w:lang w:val="ro-RO" w:eastAsia="ro-RO" w:bidi="ro-RO"/>
        </w:rPr>
        <w:t>加大对农业生产者宣传力度。 采取现实带动的方式，通过在农业大县建立示范基地、在种养殖大户中试用物联网、借助电视等媒体播放示范基地生产纪录片等方式， 使他们对物联网的效果有切身体会； 并且对新型农民进行物联网培训。</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2.</w:t>
      </w:r>
      <w:r>
        <w:rPr>
          <w:rFonts w:hint="eastAsia" w:ascii="仿宋" w:hAnsi="仿宋" w:eastAsia="仿宋" w:cs="仿宋"/>
          <w:color w:val="231F20"/>
          <w:spacing w:val="11"/>
          <w:kern w:val="2"/>
          <w:sz w:val="24"/>
          <w:szCs w:val="24"/>
          <w:lang w:val="ro-RO" w:eastAsia="ro-RO" w:bidi="ro-RO"/>
        </w:rPr>
        <w:t>构建农业物联网发展支持政策体系</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农业物联网发展政策支持的目标是：围绕提高农业劳动生产率、土地产出率、资源利用率和农产品质量安全，加快推进农业生产基础设施、装备与信息技术的融合。“十三五”期间，重点是加大中央、省级对农业物联网发展的财政投入，引导地方强化政策和资金支持，鼓励大中型企业、物联网企业和民间资本通过竞争性招标等方式，公平参与农业物联网建设和运行维护，逐步形成以政府财政资金资助为导向，金融、税收优惠政策为杠杠， 农业物联网技术设备研发单位、生产企业、应用单位为投入主体的农业物联网市场化运作模式。</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(1)</w:t>
      </w:r>
      <w:r>
        <w:rPr>
          <w:rFonts w:hint="eastAsia" w:ascii="仿宋" w:hAnsi="仿宋" w:eastAsia="仿宋" w:cs="仿宋"/>
          <w:color w:val="231F20"/>
          <w:spacing w:val="11"/>
          <w:kern w:val="2"/>
          <w:sz w:val="24"/>
          <w:szCs w:val="24"/>
          <w:lang w:val="ro-RO" w:eastAsia="ro-RO" w:bidi="ro-RO"/>
        </w:rPr>
        <w:t>以项目为载体，加大财政资金扶持力度。设立农业物联网产业发展财政专项资金；加大对农业物联网技术设备研发、生产单位的财政支持力度，逐步形成“企业参与、人才集聚、设备成熟、市场前景广泛”的现代农业物联网生产研发产业；把农业物联网产品列入全国农机补贴目录。</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(2)</w:t>
      </w:r>
      <w:r>
        <w:rPr>
          <w:rFonts w:hint="eastAsia" w:ascii="仿宋" w:hAnsi="仿宋" w:eastAsia="仿宋" w:cs="仿宋"/>
          <w:color w:val="231F20"/>
          <w:spacing w:val="11"/>
          <w:kern w:val="2"/>
          <w:sz w:val="24"/>
          <w:szCs w:val="24"/>
          <w:lang w:val="ro-RO" w:eastAsia="ro-RO" w:bidi="ro-RO"/>
        </w:rPr>
        <w:t>完善金融投融资政策，鼓励现有物联网企业投资农业物联网产业。对拥有自主知识产权和产业化前景好的项目， 可按照项目技术设备投入的 20％予以贴息或资助；降低农业物联网技术研发单位、设备生产企业的信贷门槛；国有商业银行要允许农业物联网应用企业以土地经营权、房屋、设备产权作为抵押物获取银行贷款。加大对物联网企业的融资担保支持力度；将农业物联网技术设备研发生产企业视同中小高新技术企业，享受相关优惠政策；推进农业物联网企业通过资本市场直接融资； 对在县以上开发区、工业园区投资建设农业物联网重大项目的，可由政府性投资公司出资、跟进投资或者融资担保。</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（3）</w:t>
      </w:r>
      <w:r>
        <w:rPr>
          <w:rFonts w:hint="eastAsia" w:ascii="仿宋" w:hAnsi="仿宋" w:eastAsia="仿宋" w:cs="仿宋"/>
          <w:color w:val="231F20"/>
          <w:spacing w:val="11"/>
          <w:kern w:val="2"/>
          <w:sz w:val="24"/>
          <w:szCs w:val="24"/>
          <w:lang w:val="ro-RO" w:eastAsia="ro-RO" w:bidi="ro-RO"/>
        </w:rPr>
        <w:t>完善现有税收政策。 一是制定鼓励农业物联网技术研发投入的税收优惠政策；二是完善促进农业物联网研发技术成果转化的税收优惠政策。</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zh-CN" w:bidi="ro-RO"/>
        </w:rPr>
        <w:t>（</w:t>
      </w:r>
      <w:r>
        <w:rPr>
          <w:rFonts w:hint="eastAsia" w:ascii="仿宋" w:hAnsi="仿宋" w:eastAsia="仿宋" w:cs="仿宋"/>
          <w:color w:val="231F20"/>
          <w:spacing w:val="11"/>
          <w:kern w:val="2"/>
          <w:sz w:val="24"/>
          <w:szCs w:val="24"/>
          <w:lang w:val="en-US" w:eastAsia="zh-CN" w:bidi="ro-RO"/>
        </w:rPr>
        <w:t>4）</w:t>
      </w:r>
      <w:r>
        <w:rPr>
          <w:rFonts w:hint="eastAsia" w:ascii="仿宋" w:hAnsi="仿宋" w:eastAsia="仿宋" w:cs="仿宋"/>
          <w:color w:val="231F20"/>
          <w:spacing w:val="11"/>
          <w:kern w:val="2"/>
          <w:sz w:val="24"/>
          <w:szCs w:val="24"/>
          <w:lang w:val="ro-RO" w:eastAsia="ro-RO" w:bidi="ro-RO"/>
        </w:rPr>
        <w:t>实施科技创新政策，不断提高农业物联网水平。 政府科技部门、科技机构要把农业物联网的科技创新作为重点支持对象。在国家和省级的重大科技专项中，重点支持农业物联网领域的技术攻关。 鼓励科技创新型企业建立国家级农业物联网工程 （技术）研究中心、企业技术中心、重点实验室。支持企业联合高校、 科研机构申报国家和省级农业物联网重大项目、组建联合实验室。 加强农业物联网技术研发单位、产品生产企业与农业物联网中介机构的认定服务工作， 激励成果转化。加快物联网创新服务平台实验室和信息数据资源共享系统建设。重点实行鼓励技术人才特别是物联网人才进入农业物联网研发、生产、应用与运行维护领域；鼓励各类机构以多种方式培养农业物联网人才。</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3.</w:t>
      </w:r>
      <w:r>
        <w:rPr>
          <w:rFonts w:hint="eastAsia" w:ascii="仿宋" w:hAnsi="仿宋" w:eastAsia="仿宋" w:cs="仿宋"/>
          <w:color w:val="231F20"/>
          <w:spacing w:val="11"/>
          <w:kern w:val="2"/>
          <w:sz w:val="24"/>
          <w:szCs w:val="24"/>
          <w:lang w:val="ro-RO" w:eastAsia="ro-RO" w:bidi="ro-RO"/>
        </w:rPr>
        <w:t>加快标准化体系建设， 奠定农业物联网政策支持的基础农业物联网的标准化是农业物联网发展支持政策的基础。 农业部门要牵头组织物联网应用企业、科研院所、研发生产企业，以国家物联网标准为基础，结合农业的特征和农业物联网发展的实际，制定农业物联网标准体系（吴建伟，2014）。</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zh-CN" w:bidi="ro-RO"/>
        </w:rPr>
        <w:t>（</w:t>
      </w:r>
      <w:r>
        <w:rPr>
          <w:rFonts w:hint="eastAsia" w:ascii="仿宋" w:hAnsi="仿宋" w:eastAsia="仿宋" w:cs="仿宋"/>
          <w:color w:val="231F20"/>
          <w:spacing w:val="11"/>
          <w:kern w:val="2"/>
          <w:sz w:val="24"/>
          <w:szCs w:val="24"/>
          <w:lang w:val="en-US" w:eastAsia="zh-CN" w:bidi="ro-RO"/>
        </w:rPr>
        <w:t>1）</w:t>
      </w:r>
      <w:r>
        <w:rPr>
          <w:rFonts w:hint="eastAsia" w:ascii="仿宋" w:hAnsi="仿宋" w:eastAsia="仿宋" w:cs="仿宋"/>
          <w:color w:val="231F20"/>
          <w:spacing w:val="11"/>
          <w:kern w:val="2"/>
          <w:sz w:val="24"/>
          <w:szCs w:val="24"/>
          <w:lang w:val="ro-RO" w:eastAsia="ro-RO" w:bidi="ro-RO"/>
        </w:rPr>
        <w:t>硬件设备生产标准。明确设备的主要功能、接口设计等技术规范，对投入生产并推广使用的设备的稳定性、最短使用寿命作出规定，如确定农业传感器及标识设备的功能、性能、接口、基础测量指标、高端测量指标和扩展测量指标，田间数据传输通讯协议标准等。</w:t>
      </w:r>
    </w:p>
    <w:p>
      <w:pPr>
        <w:pStyle w:val="15"/>
        <w:keepNext w:val="0"/>
        <w:keepLines w:val="0"/>
        <w:pageBreakBefore w:val="0"/>
        <w:widowControl w:val="0"/>
        <w:numPr>
          <w:ilvl w:val="0"/>
          <w:numId w:val="2"/>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软件设施即专家决策咨询系统的标准。 包括农业数据采集标准、动植物生长数据模型、多源数据融合分析处理标准等， 此标准的确立是个长期积累、反馈、完善的过程，要尽可能详细。 对温室大棚、高档花卉、食用菌、养猪、养鸡、水产养殖等可以人工调控环境的，要明确某种具体的动植物最重要的监测指标是什么、在什么样的指标数据下生长状况最好；对大田农业这种环境难以调控的，要根据自然条件确定大体的地理分区， 研究在某一区的特定温室度范围下， 对某种农作物，何时从事何种农事生产最利于作物的生长、如何监测防范极端气候。 省一级乃至全国建立统一的数据平台，定时发布农产品市场信息、农业物联网建设情况和相关政策标准、专家决策咨询系统相关内容（此内容要限制开放对象）等等。</w:t>
      </w:r>
    </w:p>
    <w:p>
      <w:pPr>
        <w:pStyle w:val="15"/>
        <w:keepNext w:val="0"/>
        <w:keepLines w:val="0"/>
        <w:pageBreakBefore w:val="0"/>
        <w:widowControl w:val="0"/>
        <w:numPr>
          <w:ilvl w:val="0"/>
          <w:numId w:val="2"/>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农业物联网项目建设标准。 对于一个完整的农业物联网项目应该包括哪些部分、某种部分的建设标准是什么、投资大体多少要明确，如厂房或场地设计标准、设备配置标准、生产流程或农事流程等。国家对农业项目的投资要以此为依据，做到每笔资金都细化、落到实处。</w:t>
      </w:r>
    </w:p>
    <w:p>
      <w:pPr>
        <w:pStyle w:val="15"/>
        <w:keepNext w:val="0"/>
        <w:keepLines w:val="0"/>
        <w:pageBreakBefore w:val="0"/>
        <w:widowControl w:val="0"/>
        <w:numPr>
          <w:ilvl w:val="0"/>
          <w:numId w:val="2"/>
        </w:numPr>
        <w:tabs>
          <w:tab w:val="left" w:pos="1010"/>
        </w:tabs>
        <w:kinsoku/>
        <w:wordWrap/>
        <w:overflowPunct/>
        <w:topLinePunct w:val="0"/>
        <w:autoSpaceDE/>
        <w:autoSpaceDN/>
        <w:bidi w:val="0"/>
        <w:adjustRightInd/>
        <w:snapToGrid/>
        <w:spacing w:after="0" w:afterAutospacing="0" w:line="360" w:lineRule="auto"/>
        <w:ind w:left="0"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农业物联网产品认证标准。农业物联网的一个好处就是产品可溯源、可以更好地满足食品安全需要，国家要对溯源信息进行认证、对溯源系统进行监管以确保数据的真实可靠，建立类似于绿色产品的认证体系和标志。</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Chars="200" w:right="0" w:rightChars="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4.</w:t>
      </w:r>
      <w:r>
        <w:rPr>
          <w:rFonts w:hint="eastAsia" w:ascii="仿宋" w:hAnsi="仿宋" w:eastAsia="仿宋" w:cs="仿宋"/>
          <w:color w:val="231F20"/>
          <w:spacing w:val="11"/>
          <w:kern w:val="2"/>
          <w:sz w:val="24"/>
          <w:szCs w:val="24"/>
          <w:lang w:val="ro-RO" w:eastAsia="ro-RO" w:bidi="ro-RO"/>
        </w:rPr>
        <w:t>设立协调机构，完善农业物联网发展与支持政策的组织机制</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从中央到各级地方政府，都要建立农业物联网产业发展指导和协调委员会，组织协调发改委、经信委、财政、农业、税务等相关单位，制订、执行、落实农业物联网发展的支持政策。 各有关部门要加强组织协调， 积极整合资源，打破条块分割，实现相关农业信息平台和系统的互联互通、共建共享。通过制订相关技术规范和应用标准，推动省级农业物联网综合服务平台、示范县农业物联网综合服务平台以及农业物联网示范点相互兼容。省相关涉农部门都要建设行业性数据库，接入省级农业物联网综合服务平台，为集成和开发大数据、指导“ 三农”工作奠定坚实基础。在“部省共建农业物联网区域试验工程建设工作领导小组”领导下，在省级层面成立农业物联网推进工作联席会议制度。统筹指导项目推进，协调落实扶持政策和资金，审定总体规划和实施方案，制定相关工作制度等。</w:t>
      </w:r>
    </w:p>
    <w:p>
      <w:pPr>
        <w:pStyle w:val="4"/>
        <w:keepNext w:val="0"/>
        <w:keepLines w:val="0"/>
        <w:pageBreakBefore w:val="0"/>
        <w:widowControl w:val="0"/>
        <w:kinsoku/>
        <w:wordWrap/>
        <w:overflowPunct/>
        <w:topLinePunct w:val="0"/>
        <w:autoSpaceDE/>
        <w:autoSpaceDN/>
        <w:bidi w:val="0"/>
        <w:adjustRightInd/>
        <w:snapToGrid/>
        <w:spacing w:before="54" w:afterAutospacing="0" w:line="360" w:lineRule="auto"/>
        <w:ind w:left="111"/>
        <w:jc w:val="left"/>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参考文献：</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1、</w:t>
      </w:r>
      <w:r>
        <w:rPr>
          <w:rFonts w:hint="eastAsia" w:ascii="仿宋" w:hAnsi="仿宋" w:eastAsia="仿宋" w:cs="仿宋"/>
          <w:color w:val="231F20"/>
          <w:spacing w:val="11"/>
          <w:kern w:val="2"/>
          <w:sz w:val="24"/>
          <w:szCs w:val="24"/>
          <w:lang w:val="ro-RO" w:eastAsia="ro-RO" w:bidi="ro-RO"/>
        </w:rPr>
        <w:t>陈晓栋、 原向阳等：《农业物联网研究进展与前景展望》，《中国农业科技导报》2015 年第 2 期。</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2、</w:t>
      </w:r>
      <w:r>
        <w:rPr>
          <w:rFonts w:hint="eastAsia" w:ascii="仿宋" w:hAnsi="仿宋" w:eastAsia="仿宋" w:cs="仿宋"/>
          <w:color w:val="231F20"/>
          <w:spacing w:val="11"/>
          <w:kern w:val="2"/>
          <w:sz w:val="24"/>
          <w:szCs w:val="24"/>
          <w:lang w:val="ro-RO" w:eastAsia="ro-RO" w:bidi="ro-RO"/>
        </w:rPr>
        <w:t>陈秉恒：《物联网技术下农业供应链的构建》，《江西社会科学》2013 年第 4 期。</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en-US" w:eastAsia="zh-CN" w:bidi="ro-RO"/>
        </w:rPr>
        <w:t>3、</w:t>
      </w:r>
      <w:r>
        <w:rPr>
          <w:rFonts w:hint="eastAsia" w:ascii="仿宋" w:hAnsi="仿宋" w:eastAsia="仿宋" w:cs="仿宋"/>
          <w:color w:val="231F20"/>
          <w:spacing w:val="11"/>
          <w:kern w:val="2"/>
          <w:sz w:val="24"/>
          <w:szCs w:val="24"/>
          <w:lang w:val="ro-RO" w:eastAsia="ro-RO" w:bidi="ro-RO"/>
        </w:rPr>
        <w:t>吴建伟、辛颖等：《农业物联网系统集成重点实验室长效运行》，《中国人口．资源与环境》2014年第S3期。</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afterAutospacing="0" w:line="360" w:lineRule="auto"/>
        <w:ind w:leftChars="0" w:right="0" w:rightChars="0" w:firstLine="524" w:firstLineChars="200"/>
        <w:jc w:val="both"/>
        <w:textAlignment w:val="auto"/>
        <w:rPr>
          <w:rFonts w:hint="eastAsia" w:ascii="仿宋" w:hAnsi="仿宋" w:eastAsia="仿宋" w:cs="仿宋"/>
          <w:color w:val="231F20"/>
          <w:spacing w:val="11"/>
          <w:kern w:val="2"/>
          <w:sz w:val="24"/>
          <w:szCs w:val="24"/>
          <w:lang w:val="ro-RO" w:eastAsia="ro-RO" w:bidi="ro-RO"/>
        </w:rPr>
      </w:pPr>
      <w:r>
        <w:rPr>
          <w:rFonts w:hint="eastAsia" w:ascii="仿宋" w:hAnsi="仿宋" w:eastAsia="仿宋" w:cs="仿宋"/>
          <w:color w:val="231F20"/>
          <w:spacing w:val="11"/>
          <w:kern w:val="2"/>
          <w:sz w:val="24"/>
          <w:szCs w:val="24"/>
          <w:lang w:val="ro-RO" w:eastAsia="ro-RO" w:bidi="ro-RO"/>
        </w:rPr>
        <w:t>作者简介：徐元明，江苏省社会科学院研究员；孟静，江苏省社会科学院助理研究员；赵锦春，江苏省社会科学院农村发展研究所助理研究员、博士（南京    210013）。</w:t>
      </w:r>
    </w:p>
    <w:p>
      <w:pPr>
        <w:pStyle w:val="15"/>
        <w:keepNext w:val="0"/>
        <w:keepLines w:val="0"/>
        <w:pageBreakBefore w:val="0"/>
        <w:widowControl w:val="0"/>
        <w:numPr>
          <w:ilvl w:val="0"/>
          <w:numId w:val="0"/>
        </w:numPr>
        <w:tabs>
          <w:tab w:val="left" w:pos="1010"/>
        </w:tabs>
        <w:kinsoku/>
        <w:wordWrap/>
        <w:overflowPunct/>
        <w:topLinePunct w:val="0"/>
        <w:autoSpaceDE/>
        <w:autoSpaceDN/>
        <w:bidi w:val="0"/>
        <w:adjustRightInd/>
        <w:snapToGrid/>
        <w:spacing w:after="0" w:line="283" w:lineRule="auto"/>
        <w:ind w:right="0" w:rightChars="0"/>
        <w:jc w:val="both"/>
        <w:textAlignment w:val="auto"/>
        <w:rPr>
          <w:rFonts w:hint="default" w:ascii="宋体" w:hAnsi="宋体" w:eastAsia="宋体" w:cs="宋体"/>
          <w:color w:val="231F20"/>
          <w:spacing w:val="11"/>
          <w:kern w:val="2"/>
          <w:sz w:val="24"/>
          <w:szCs w:val="24"/>
          <w:lang w:val="en-US" w:eastAsia="zh-CN" w:bidi="ro-RO"/>
        </w:rPr>
      </w:pPr>
      <w:r>
        <w:rPr>
          <w:rFonts w:hint="eastAsia" w:ascii="宋体" w:hAnsi="宋体" w:eastAsia="宋体" w:cs="宋体"/>
          <w:color w:val="231F20"/>
          <w:spacing w:val="11"/>
          <w:kern w:val="2"/>
          <w:sz w:val="24"/>
          <w:szCs w:val="24"/>
          <w:lang w:val="en-US" w:eastAsia="zh-CN" w:bidi="ro-RO"/>
        </w:rPr>
        <w:t xml:space="preserve">                                </w:t>
      </w:r>
      <w:r>
        <w:rPr>
          <w:rFonts w:hint="eastAsia" w:ascii="仿宋" w:hAnsi="仿宋" w:eastAsia="仿宋" w:cs="仿宋"/>
          <w:color w:val="231F20"/>
          <w:spacing w:val="13"/>
          <w:w w:val="102"/>
          <w:sz w:val="24"/>
          <w:szCs w:val="24"/>
          <w:lang w:eastAsia="zh-CN"/>
        </w:rPr>
        <w:t>（物流管理系郑雪清老师提供）</w:t>
      </w:r>
    </w:p>
    <w:p>
      <w:pPr>
        <w:pStyle w:val="15"/>
        <w:keepNext w:val="0"/>
        <w:keepLines w:val="0"/>
        <w:pageBreakBefore w:val="0"/>
        <w:widowControl w:val="0"/>
        <w:numPr>
          <w:ilvl w:val="0"/>
          <w:numId w:val="0"/>
        </w:numPr>
        <w:tabs>
          <w:tab w:val="left" w:pos="1011"/>
        </w:tabs>
        <w:kinsoku/>
        <w:wordWrap/>
        <w:overflowPunct/>
        <w:topLinePunct w:val="0"/>
        <w:autoSpaceDE/>
        <w:autoSpaceDN/>
        <w:bidi w:val="0"/>
        <w:adjustRightInd/>
        <w:snapToGrid/>
        <w:spacing w:after="0" w:line="273" w:lineRule="exact"/>
        <w:ind w:left="-321" w:leftChars="0" w:right="0" w:rightChars="0" w:firstLine="720" w:firstLineChars="300"/>
        <w:jc w:val="both"/>
        <w:textAlignment w:val="auto"/>
        <w:rPr>
          <w:rFonts w:hint="eastAsia" w:ascii="宋体" w:hAnsi="宋体" w:eastAsia="宋体" w:cs="宋体"/>
          <w:sz w:val="24"/>
          <w:szCs w:val="24"/>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291" w:lineRule="auto"/>
        <w:ind w:left="0" w:leftChars="0" w:right="0" w:rightChars="0"/>
        <w:jc w:val="left"/>
        <w:textAlignment w:val="auto"/>
        <w:rPr>
          <w:rFonts w:hint="eastAsia" w:ascii="宋体" w:hAnsi="宋体" w:eastAsia="宋体" w:cs="宋体"/>
          <w:color w:val="231F20"/>
          <w:spacing w:val="11"/>
          <w:sz w:val="24"/>
          <w:szCs w:val="24"/>
        </w:rPr>
      </w:pPr>
    </w:p>
    <w:p>
      <w:pPr>
        <w:keepNext w:val="0"/>
        <w:keepLines w:val="0"/>
        <w:pageBreakBefore w:val="0"/>
        <w:widowControl w:val="0"/>
        <w:kinsoku/>
        <w:wordWrap/>
        <w:overflowPunct/>
        <w:topLinePunct w:val="0"/>
        <w:autoSpaceDE/>
        <w:autoSpaceDN/>
        <w:bidi w:val="0"/>
        <w:adjustRightInd/>
        <w:snapToGrid/>
        <w:ind w:left="0" w:right="0"/>
        <w:textAlignment w:val="auto"/>
        <w:rPr>
          <w:color w:val="231F20"/>
          <w:sz w:val="42"/>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widowControl/>
        <w:suppressLineNumbers w:val="0"/>
        <w:ind w:left="0" w:leftChars="0" w:firstLine="0" w:firstLineChars="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虚拟品牌社群认同对</w:t>
      </w:r>
      <w:r>
        <w:rPr>
          <w:rFonts w:hint="eastAsia" w:ascii="仿宋" w:hAnsi="仿宋" w:eastAsia="仿宋" w:cs="仿宋"/>
          <w:color w:val="009FF2"/>
          <w:kern w:val="0"/>
          <w:sz w:val="32"/>
          <w:szCs w:val="32"/>
          <w:lang w:val="en-US" w:eastAsia="zh-CN" w:bidi="ar"/>
        </w:rPr>
        <w:t xml:space="preserve">品牌忠诚影响的实证分析 </w:t>
      </w:r>
      <w:r>
        <w:rPr>
          <w:rFonts w:hint="eastAsia" w:ascii="仿宋" w:hAnsi="仿宋" w:eastAsia="仿宋" w:cs="仿宋"/>
          <w:color w:val="000000"/>
          <w:kern w:val="0"/>
          <w:sz w:val="32"/>
          <w:szCs w:val="32"/>
          <w:lang w:val="en-US" w:eastAsia="zh-CN" w:bidi="ar"/>
        </w:rPr>
        <w:t xml:space="preserve">—基于价值共创的中介效应 </w:t>
      </w:r>
    </w:p>
    <w:p>
      <w:pPr>
        <w:keepNext w:val="0"/>
        <w:keepLines w:val="0"/>
        <w:widowControl/>
        <w:suppressLineNumbers w:val="0"/>
        <w:ind w:firstLine="4600" w:firstLineChars="2300"/>
        <w:jc w:val="left"/>
        <w:rPr>
          <w:rFonts w:hint="eastAsia" w:ascii="仿宋" w:hAnsi="仿宋" w:eastAsia="仿宋" w:cs="仿宋"/>
        </w:rPr>
      </w:pPr>
      <w:r>
        <w:rPr>
          <w:rFonts w:hint="eastAsia" w:ascii="仿宋" w:hAnsi="仿宋" w:eastAsia="仿宋" w:cs="仿宋"/>
          <w:color w:val="000000"/>
          <w:kern w:val="0"/>
          <w:sz w:val="20"/>
          <w:szCs w:val="20"/>
          <w:lang w:val="en-US" w:eastAsia="zh-CN" w:bidi="ar"/>
        </w:rPr>
        <w:t xml:space="preserve"> 范志国 副教授 柴海静  天津 300384） </w:t>
      </w:r>
    </w:p>
    <w:p>
      <w:pPr>
        <w:keepNext w:val="0"/>
        <w:keepLines w:val="0"/>
        <w:widowControl/>
        <w:suppressLineNumbers w:val="0"/>
        <w:ind w:firstLine="4800" w:firstLineChars="2400"/>
        <w:jc w:val="left"/>
        <w:rPr>
          <w:rFonts w:hint="eastAsia" w:ascii="仿宋" w:hAnsi="仿宋" w:eastAsia="仿宋" w:cs="仿宋"/>
        </w:rPr>
      </w:pPr>
      <w:r>
        <w:rPr>
          <w:rFonts w:hint="eastAsia" w:ascii="仿宋" w:hAnsi="仿宋" w:eastAsia="仿宋" w:cs="仿宋"/>
          <w:color w:val="000000"/>
          <w:kern w:val="0"/>
          <w:sz w:val="20"/>
          <w:szCs w:val="20"/>
          <w:lang w:val="en-US" w:eastAsia="zh-CN" w:bidi="ar"/>
        </w:rPr>
        <w:t xml:space="preserve"> 中图分类号：F270 文献标识码：A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rPr>
      </w:pPr>
      <w:r>
        <w:rPr>
          <w:rFonts w:hint="eastAsia" w:ascii="仿宋" w:hAnsi="仿宋" w:eastAsia="仿宋" w:cs="仿宋"/>
          <w:b/>
          <w:bCs/>
          <w:sz w:val="24"/>
          <w:szCs w:val="24"/>
        </w:rPr>
        <w:t>摘要</w:t>
      </w:r>
      <w:r>
        <w:rPr>
          <w:rFonts w:hint="eastAsia" w:ascii="仿宋" w:hAnsi="仿宋" w:eastAsia="仿宋" w:cs="仿宋"/>
          <w:sz w:val="24"/>
          <w:szCs w:val="24"/>
        </w:rPr>
        <w:t>：在虚拟品牌社群中，本文以社群融入度为调节变量，探讨社群认同、价值共创对品牌忠诚的影响机理。结果表明，群体认同和品牌认同均能够正向影响价值共创活动；而社群成员通过与企业或其他成员产生的价值共创活动可以促进品牌忠诚；社群融入度对群体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同与价值共创之间的正向关系具有显著调节作用。本研究希望通过对虚拟品牌实证调查，为企业在社会化媒体营销过程中培育品牌忠诚提供一种新思路。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t>关键词</w:t>
      </w:r>
      <w:r>
        <w:rPr>
          <w:rFonts w:hint="eastAsia" w:ascii="仿宋" w:hAnsi="仿宋" w:eastAsia="仿宋" w:cs="仿宋"/>
          <w:sz w:val="24"/>
          <w:szCs w:val="24"/>
        </w:rPr>
        <w:t>：群体认同 品牌认同 价值共创 品牌忠诚 社群融入度</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引言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当今社会，如何在激烈的竞争环境中吸引消费者眼球，提高消费者品牌忠诚，成为企业一直关注的话题。互联网时代虚拟品牌社群的出现为培育品牌忠诚提供了广阔的平台。由于虚拟品牌社群具有匿名性，且不受地理位置的限制，成员能够自由地发表言论及分享经验，因而会对社群产生一定的认同，从而提高品牌忠诚度。梳理相关文献，学者大多是从个体意识、承诺感等心理层面揭示消费者认同对品牌忠诚的影响机制，如刘新、杨伟文的研究等。然而，消费者最终形成品牌忠诚，不仅依赖于个体心理感知，顾客与企业或其他人进行互动所产生的力量同样不可小觑。近年来，价值共创成为学术界的研究热点，主要集中在价值共创活动产生的结果方面，如消费者与企业进行互动能够共同创造价值，增加了消费体验，从而提高品牌忠诚，但对价值共创的前置因素研究较少。有学者认为在关系网络的高科技B2B 公司对资源和能力的认同能够影响员工和企业间价值共创活动，进而提高员工</w:t>
      </w:r>
      <w:r>
        <w:rPr>
          <w:rFonts w:hint="eastAsia" w:ascii="仿宋" w:hAnsi="仿宋" w:eastAsia="仿宋" w:cs="仿宋"/>
          <w:sz w:val="24"/>
          <w:szCs w:val="24"/>
          <w:lang w:val="en-US" w:eastAsia="zh-CN"/>
        </w:rPr>
        <w:t xml:space="preserve">积极性，这为揭示行为互动层面虚拟品牌 社群认同对品牌忠诚的影响作用提供了启 示。基于此，本研究引入价值共创中介变量，试图研究虚拟品牌社群认同对品牌忠 诚的具体影响。另外，虚拟品牌社群成员的社群融入度能影响成员行为，当成员具有较高的社群融入时，其会更倾向于参与社群中各种活动，故模型中加入调节变量社群融入度，以期使研究更全面。本研究 希望通过对虚拟品牌实证调查，为企业在社会化媒体营销过程中培育品牌忠诚提供一种新思路。 </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9FF2"/>
          <w:kern w:val="0"/>
          <w:sz w:val="24"/>
          <w:szCs w:val="24"/>
          <w:lang w:val="en-US" w:eastAsia="zh-CN" w:bidi="ar"/>
        </w:rPr>
        <w:t xml:space="preserve">文献回顾与研究假设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（一）虚拟品牌社群认同及其维度划分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Algesheimer 等根据社会认同理论定义品牌社群认同是社群成员对社群中的规范、仪式、传统、目标等的认可，其包含认知和情感两因素。Carlson 等从心理层面研究产生社群意识的前定因素时认为社群成员对品牌社群的认同来源于成员对社群中其他成员的认同以及成员对该品牌的认同。成员加入到某个品牌社群中，可能因为对该品牌感兴趣，具有一定的认同程度；也可能因为喜欢与其他社群成员进行交流，对社群成员比较认可。本研究采用 Carlson 的划分方法，将虚拟品牌社群认同划分为群体认同和品牌认同，并界定虚拟品牌社群认同是指在虚拟品牌社群中，社群成员对品牌及社群的目标、规范、成员关系、传统等的认可。</w:t>
      </w:r>
    </w:p>
    <w:p>
      <w:pPr>
        <w:keepNext w:val="0"/>
        <w:keepLines w:val="0"/>
        <w:widowControl/>
        <w:numPr>
          <w:ilvl w:val="0"/>
          <w:numId w:val="3"/>
        </w:numPr>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虚拟品牌社群价值共创及其维度划分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不同于传统价值观点，价值共创认为企业和顾客共同创造价值。Prahalad 和 Ramaswamy 等定义价值共创是指消费者通过实施自身判断选择权，与企业进行互动，共同创造产品价值的活动过程，这种活动可能发生在消费前，也可能发生在消费过程中。目前国内学者主要从产业服务领域，社会网络环境等方面对价值共创的结果进行研究。在虚拟品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社群中，社群成员以社群共同意向为行为标准，同企业及其他社群成员关于产品设计、生产和消费等内容进行经济性互动交流，因此形成虚拟品牌社群价值共创。价值共创活动可以由企业在社群中组织形成，也可由消费者自发组织形成，即企业发起的价值共创和顾客自发的价值共创。研究表明价值共创可以发生在企业 -顾客（B2C）环境下，或顾客 - 顾客（C2C）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环境下。本文借鉴前人研究，将虚拟品牌社群价值共创分为企业 - 顾客间的价值共创和顾客 - 顾客间的价值共创两种类型。其中，企业 - 顾客间的价值共创是指顾客参与企业在社群中发起的产品开发设计等方面的互动交流活动，从而形成价值创意；顾客 - 顾客间的价值共创是指顾客在品牌社群中主动发起关于品牌的话题，通过与其他成员分享产品信息或自身经验所进行的互动交流活动。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drawing>
          <wp:inline distT="0" distB="0" distL="114300" distR="114300">
            <wp:extent cx="3790950" cy="2458085"/>
            <wp:effectExtent l="0" t="0" r="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90950" cy="24580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（三）群体认同与价值共创的关系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虚拟品牌社群成员可能出于关系导向参加品牌社群（刘新、杨伟文，2012）。社群成员之间具有某些相似特征，或对某个领域具有相似爱好。当社群成员意识到这些相似处，就容易对群体中的目标、规范等形成认可，从而产生群体认同感。Carlson 等认为社群成员对群体的认同能够影响其行为，因此，当社群成员对群体产生认同时，就能促进成员在社群中参与价值共创活动，如参加企业通过社群发起的产品创意征集或评价活动，甚至主动发起与品牌相关的话题及分享经验等。而且成员对群体的认同越高，互动交流活动越积极。因此，提出如下假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H1：虚拟品牌群体认同对价值共创具有正向影响作用。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H1a：虚拟品牌社群成员群体认同对企业 - 顾客间的价值共创具有积极作用。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H1b：虚拟品牌社群成员群体认同对顾客 - 顾客间的价值共创具有积极作用。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（四）品牌认同与价值共创的关系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虚拟品牌社群成员也可能出于兴趣导向加入品牌社群。当品牌符合社群成员的某种特质或品味，社群成员能感知到自身与品牌的相似处，如品牌个性形象与本身兴趣、价值观、生活方式等相一致时，社群成员更容易对该品牌产生认同感。品牌认同的产生，能够促进社群成员积极与其他社群成员分享关于品牌的信息，乐于介绍品牌特点，同时会促进其参加企业发起的关于品牌产品的创意或评价活动，对产品提出自己的构想，且品牌认同程度越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这种价值共创互动交流越积极。因此，提出如下假设：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drawing>
          <wp:inline distT="0" distB="0" distL="114300" distR="114300">
            <wp:extent cx="3961765" cy="2790825"/>
            <wp:effectExtent l="0" t="0" r="63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3961765" cy="27908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H2：虚拟品牌社群品牌认同对价值共创具有正向影响作用。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H2a：虚拟品牌社群成员品牌认同对企业 - 顾客间的价值共创具有积极作用。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H2b：虚拟品牌社群成员品牌认同对顾客 - 顾客间的价值共创具有积极作用。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（五）价值共创与品牌忠诚的关系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顾客参与企业产品的价值共创能够增强顾客品牌感知，提高评价，从而促进品牌正面传播（Ostrom，2010）。当顾客参与产品的开发设计过程时，由于产品凝聚了顾客自身创意，顾客会更倾向于购买该品牌产品，并且乐于向身边朋友推荐，从而增加品牌忠诚度。Ros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等的研究支持上述看法，其认为企业和顾客间的价值共创能提高顾客忠诚，增加品牌正面口碑。顾客在社群中会自发与其他成员分享产品信息、使用经验，甚至会主动发起与产品相关的帖子。社群成员之间的互动活动，能够提高成员对品牌的评价，促进品牌宣传，产生正面效应，从而促进购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因此，提出如下假设：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H3：虚拟品牌社群价值共创对品牌忠诚具有正向影响。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H3a：企业 - 顾客间的价值共创对品牌忠诚具有积极作用。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H3b：顾客 - 顾客间的价值共创对品牌忠诚具有积极作用。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（六）品牌社群融入度的调节作用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品牌社群融入是指社群成员参与社群中关于品牌的活动，且与其他社群成员具有一定联系（刘勇，2009）。虚拟品牌社群中不同成员的社群融入度是不同的，社群融入度越高，成员的互动效用越强，从而对其行为的作用越大（范晓屏，马庆国，2009）。因此当虚拟品牌社群成员具有较高的社群融入度时，成员在社群中会更加积极的参加互动交流，进行价值共创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本研究认为品牌社群融入度在社群认同和价值共创之间具有调节作用。因此，提出以下假设：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H4：虚拟品牌社群融入度正向调节社群认同和价值共创间的关系。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H4a：虚拟品牌社群融入度正向调节群体认同和企业 - 顾客间价值共创关系。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H4b：虚拟品牌社群融入度正向调节群体认同和顾客 - 顾客间价值共创关系。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H4c：虚拟品牌社群融入度正向调节品牌认同和企业 - 顾客间价值共创关系。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H4d：虚拟品牌社群融入度正向调节品牌认同和顾客 - 顾客间价值共创关系。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根据上述假设，提出如图 1 所示的概念模型。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研究设计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（一）初始问卷设计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为检验上述假设，本文采用国内外文献中成熟的量表，并根据研究目的进行适当修改，以保证量表信度和效度。其中，群体认同的测量主要参考 Algesheimer 等的研究，品牌认同的测量主要参考 Kim 等的研究，企业 - 顾客间价值共创的测量主要参考 Zwass 等的研究，顾客 - 顾客间价值共创的测量主要参考 Ridings 等的研究，社群融入度的测量主要参照 Madupu的研究。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首先设计初始问卷，其中群体认同和品牌认同分别有 5 个题项，企业 - 顾客间价值共创和顾客 - 顾客间价值共创分别有 4 个题项，社群融入度有 4 个题项。同时对调查者性别、年龄、教育水平和职业等基本信息进行统计。除基本信息外，问卷均采用李克特 5 级量表进行测量，从“非常不同意”到“非常同意”分别计分1-5 分。初始问卷在小米论坛发布，要求社群成员帮助填写，共发放 95 份，有效问卷67 份。对有效问卷进行信度和效度检验，并对相关题项进行修改，形成正式问卷。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（二）调查样本和数据收集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调查以虚拟品牌社群成员为对象，故问卷采用网络发放形式，在小米社区、华为花粉俱乐部、“果粉”社区等在线品牌社群通过发帖或邮件等邀请成员参与调查。期间共回收 427 份问卷，剔除回答不完整及明显不认真问卷，剩余有效问卷355 份，有效率 83.1%。对有效问卷进行结构性分析发现，从性别看，男性 203 人，占 57.2%， 女 性 152 人， 占 42.8%， 分布较均匀；从年龄看，18-28 岁 205 人，29-44 岁 128 人，这两个年龄段人数占样本 93.8%，符合中青年群体是当前品牌产品消费者的特征；从受教育程度看，73.8% 的被调查者具有大学及以上学历；从职业看，公司职员占 46.1%，学生占37.8%，这些人具有一定的消费能力。综上所述，本次研究调查样本符合研究要求，具有一定代表性。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图 1 本研究概念模型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数据分析与模型验证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（一）数据的信度和效度检验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使用 SPSS17.0 对数据进行信度和效度分析，一般认为，Cronbach’s 大于 0.7，表明量表具有较理想的信度；KMO 大于0.7，表明量表具有较好的效度。从表 1可看出数据的 Cronbach’s 值及 KMO 值均符合要求，且每个题项的因子载荷均大于 0.5，因此问卷具有较好信度和效度。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（二）模型拟合度分析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本文利用 AMOS17.0 对模型进行拟合度分析。通过分析结果显示χ</w:t>
      </w:r>
      <w:r>
        <w:rPr>
          <w:rFonts w:hint="eastAsia" w:ascii="仿宋" w:hAnsi="仿宋" w:eastAsia="仿宋" w:cs="仿宋"/>
          <w:sz w:val="24"/>
          <w:szCs w:val="24"/>
          <w:vertAlign w:val="superscript"/>
          <w:lang w:val="en-US" w:eastAsia="zh-CN"/>
        </w:rPr>
        <w:t>2</w:t>
      </w:r>
      <w:r>
        <w:rPr>
          <w:rFonts w:hint="eastAsia" w:ascii="仿宋" w:hAnsi="仿宋" w:eastAsia="仿宋" w:cs="仿宋"/>
          <w:sz w:val="24"/>
          <w:szCs w:val="24"/>
          <w:lang w:val="en-US" w:eastAsia="zh-CN"/>
        </w:rPr>
        <w:t>/df=1.440，GFI=0.934，AGFI=0.914，RMSEA=0.035。一般认为χ</w:t>
      </w:r>
      <w:r>
        <w:rPr>
          <w:rFonts w:hint="eastAsia" w:ascii="仿宋" w:hAnsi="仿宋" w:eastAsia="仿宋" w:cs="仿宋"/>
          <w:sz w:val="24"/>
          <w:szCs w:val="24"/>
          <w:vertAlign w:val="superscript"/>
          <w:lang w:val="en-US" w:eastAsia="zh-CN"/>
        </w:rPr>
        <w:t>2</w:t>
      </w:r>
      <w:r>
        <w:rPr>
          <w:rFonts w:hint="eastAsia" w:ascii="仿宋" w:hAnsi="仿宋" w:eastAsia="仿宋" w:cs="仿宋"/>
          <w:sz w:val="24"/>
          <w:szCs w:val="24"/>
          <w:lang w:val="en-US" w:eastAsia="zh-CN"/>
        </w:rPr>
        <w:t>/df 数值介于 1~3 表示拟合度良好，GFI 和 AGFI 需大于 0.9，RMSEA 小于 0.08。通过比较得出，该模型各指标均符合标准要求，因此模型具有较好的拟合度。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（三）路径分析及假设验证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研究采用 AMOS17.0 进行路径分析和假设检验。结果显示，群体认同对企 业 - 顾 客 间 的 价 值 共 创（β=0.16，p&lt;0.05）、 顾 客 - 顾客间的价值共创（β=0.47，p ＜ 0.001）具有显著正向作用；品牌认同对企业 - 顾客间的价值共创（β=0.20，p ＜ 0.05）、顾客 - 顾客间的价值共创（β=0.26，p ＜ 0.001）也具有显著正向作用；企业 - 顾客间的价值共创及顾客 - 顾客间的价值共创对品牌忠诚（β=0.19，p ＜ 0.01；β=0.59，p ＜ 0.001）均具有显著正向作用，因此假设 H1-H3得到验证。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（四）社群融入度的调节检验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运用 SPSS17.0 对社群融入度的调节作用进行验证，结果显示，群体认同与社群融入度的交互作用对企业 - 顾客间的价值共创及顾客 - 顾客间的价值共创均具有显著影响作用（p ＜ 0.05），即假设 H4a和 H4b 成立；而品牌认同与社群融入度交互项的 p 值均大于 0.05，因此其对企业- 顾客间的价值共创及顾客 - 顾客间的价值共创调节效果不明显，故假设 H4c 和H4d 不成立。根据上述分析，模型假设结果如表 2所示。</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drawing>
          <wp:inline distT="0" distB="0" distL="114300" distR="114300">
            <wp:extent cx="3829050" cy="2676525"/>
            <wp:effectExtent l="0" t="0" r="0" b="952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3829050" cy="26765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结论及启示</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（一）研究结论与理论贡献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研究结果显示：虚拟品牌社群中群体认同和品牌认同均能正向影响企业 - 顾客和顾客 - 顾客间的价值共创，进而对品牌忠诚产生正向作用，且群体认同和品牌认同通过顾客 - 顾客间价值共创对品牌忠诚效果大于通过企业 - 顾客间价值共创产生的效果；社群融入度对群体认同与企业 -顾客间价值共创以及顾客 - 顾客间价值共创均具有显著调节效应，但对品牌认同与价值共创间的调节作用不显著，原因可能是社群中某些成员的品牌认同很强，并强烈希望品牌能满足自身个性需求，因此即使社群融入程度较低，也会愿意贡献自己的创意或经验进行价值共创。本研究创造性的引入价值共创中介变量，并从企业 - 顾客和顾客 - 顾客两个维度进行分类，从宏观互动行为方面揭示了社群认同对品牌忠诚具体影响机理，打开二者间的黑箱。社群融入度的调节作用丰富了模型，强化群体认同和价值共创之间的作用，为加强虚拟品牌社群管理，鼓励成员互动提供了理论依据。</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（二）管理启示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基于本研究的结论可看出，企业进行品牌管理与社会化营销时，应充分利用虚拟品牌社群这个社会化媒体交流平台，转变品牌营销主导逻辑，通过促进成员的认同感与存在感，让消费者参与到价值创造的过程中。高度重视顾客的创造，才能给企业带来意想不到的忠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针对本文的研究结果，提出以下建议：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一，塑造品牌形象，打造良好的社群文化，以提升品牌认同和群体认同。企业应该树立良好的品牌形象，注重品牌质量，打造“内容性品牌”，即将品牌注入丰富的内涵，增强品牌特色，彰显品牌个性。当品牌符合消费者个性需求的时候，才能赢得品牌认同。同时，企业应准确定位品牌社群共同目标，为成员提供规范的导向功能，积极宣传社群的服务宗旨，形成良好的社群文化，提高成员对群体的认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多种形式促进成员互动，提高社群成员融入度。企业、品牌、顾客三者之间应该是一个不断交流、高度互动的有机整体。成员加入社群并不是最终目的，而是应该让成员充分融入到品牌社群这个大家庭环境中。因此管理者可以通过激励等方法促使成员积极参与互动，如采用社群等级奖励或定期选出活跃名额等方式提高成员活跃程度，在社群成员间建立起友谊，将成员间弱关系变成强关系，使成员高程度融入社群中，营造和谐的社群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三，企业应集思广益，学会主动聆听，做顾客和品牌间的牵线人。服务主导逻辑下，企业应更加注重消费者的心声，充分利用虚拟品牌社群这个平台，主动聆听消费者的意见及创意。如企业可定期发布品牌产品创意、设计征集活动，或举办创意比赛，充分展示成员创意构念。鼓励成员积极参与交流与分享，通过企业 - 顾客或者顾客 - 顾客间互动，不但帮助企业了解消费者需求，集成员智慧于一体，使企业生产更符合顾客期望的品牌产品，缩短顾客和品牌的距离，更能促进企业正面形象传播，形成品牌粘性作用，促进顾客持续购买，并通过成员这个小小的自媒体进行病毒式口碑传播，吸引新顾客，扩大品牌影响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参考文献：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 刘勇 .品牌社群融入的测量、影响因素及其对品牌忠诚的影响研究 [D]. 浙江大学，2009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 刘新，杨伟文 . 虚拟品牌社群认同对品牌忠诚的影响 [J]. 管理评论，2012（8）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 李朝辉 . 基于顾客参与视角的虚拟品牌社区价值共创研究[D].北京邮电大学，2013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 周兆山 .社会网络环境下顾客间价值共创对顾客忠诚影响研究 [D]. 北京邮电大学，2014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 李朝辉，金永生，卜庆娟 . 顾客参与虚拟品牌社区价值共创对品牌资产影响研究——品牌体验的中介作用 [J]. 营销科学学报，2014（4）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 简兆权，肖霄 .网络环境下的服务创新与价值共创：携程案例研究 [J]. 管理工程学报，2015（1）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作者简介：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范志国（1963- ），男，天津人，副教授，研究方向为企业营销战略、消费者行为和品牌管理。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柴海静（1992 - ），女，河北沧州人，硕士研究生，研究方向为企业创新战略与品牌管理。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仿宋" w:hAnsi="仿宋" w:eastAsia="仿宋" w:cs="仿宋"/>
          <w:i w:val="0"/>
          <w:caps w:val="0"/>
          <w:color w:val="333333"/>
          <w:spacing w:val="8"/>
          <w:sz w:val="24"/>
          <w:szCs w:val="24"/>
          <w:shd w:val="clear" w:fill="FFFFFF"/>
          <w:lang w:val="en-US" w:eastAsia="zh-CN"/>
        </w:rPr>
      </w:pPr>
      <w:r>
        <w:rPr>
          <w:rFonts w:hint="eastAsia" w:ascii="仿宋" w:hAnsi="仿宋" w:eastAsia="仿宋" w:cs="仿宋"/>
          <w:i w:val="0"/>
          <w:caps w:val="0"/>
          <w:color w:val="333333"/>
          <w:spacing w:val="8"/>
          <w:sz w:val="24"/>
          <w:szCs w:val="24"/>
          <w:shd w:val="clear" w:fill="FFFFFF"/>
          <w:lang w:val="en-US" w:eastAsia="zh-CN"/>
        </w:rPr>
        <w:t xml:space="preserve">                                      </w:t>
      </w:r>
      <w:r>
        <w:rPr>
          <w:rFonts w:hint="eastAsia" w:ascii="仿宋" w:hAnsi="仿宋" w:eastAsia="仿宋" w:cs="仿宋"/>
          <w:sz w:val="24"/>
          <w:szCs w:val="24"/>
          <w:lang w:val="en-US" w:eastAsia="zh-CN"/>
        </w:rPr>
        <w:t>（市场营销系梁世珠老师提供）</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caps w:val="0"/>
          <w:color w:val="333333"/>
          <w:spacing w:val="8"/>
          <w:sz w:val="24"/>
          <w:szCs w:val="24"/>
          <w:shd w:val="clear" w:fill="FFFFFF"/>
          <w:lang w:val="en-US" w:eastAsia="zh-CN"/>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7DD4BC"/>
    <w:multiLevelType w:val="singleLevel"/>
    <w:tmpl w:val="AD7DD4BC"/>
    <w:lvl w:ilvl="0" w:tentative="0">
      <w:start w:val="2"/>
      <w:numFmt w:val="chineseCounting"/>
      <w:suff w:val="nothing"/>
      <w:lvlText w:val="（%1）"/>
      <w:lvlJc w:val="left"/>
      <w:rPr>
        <w:rFonts w:hint="eastAsia"/>
      </w:rPr>
    </w:lvl>
  </w:abstractNum>
  <w:abstractNum w:abstractNumId="1">
    <w:nsid w:val="01E5AAC4"/>
    <w:multiLevelType w:val="singleLevel"/>
    <w:tmpl w:val="01E5AAC4"/>
    <w:lvl w:ilvl="0" w:tentative="0">
      <w:start w:val="1"/>
      <w:numFmt w:val="decimal"/>
      <w:lvlText w:val="%1."/>
      <w:lvlJc w:val="left"/>
      <w:pPr>
        <w:tabs>
          <w:tab w:val="left" w:pos="312"/>
        </w:tabs>
      </w:pPr>
    </w:lvl>
  </w:abstractNum>
  <w:abstractNum w:abstractNumId="2">
    <w:nsid w:val="6F1AC8AA"/>
    <w:multiLevelType w:val="singleLevel"/>
    <w:tmpl w:val="6F1AC8AA"/>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A47F1"/>
    <w:rsid w:val="0092598A"/>
    <w:rsid w:val="0285356D"/>
    <w:rsid w:val="03647AD3"/>
    <w:rsid w:val="0401304F"/>
    <w:rsid w:val="051629EE"/>
    <w:rsid w:val="070D58F6"/>
    <w:rsid w:val="081A4B0E"/>
    <w:rsid w:val="0B1A47F1"/>
    <w:rsid w:val="0B8B2236"/>
    <w:rsid w:val="0BAD5F99"/>
    <w:rsid w:val="0EED513B"/>
    <w:rsid w:val="12A969C4"/>
    <w:rsid w:val="12BE376E"/>
    <w:rsid w:val="142E2C36"/>
    <w:rsid w:val="1E09427B"/>
    <w:rsid w:val="1EF610BE"/>
    <w:rsid w:val="21627218"/>
    <w:rsid w:val="229248A3"/>
    <w:rsid w:val="28967446"/>
    <w:rsid w:val="293F43C9"/>
    <w:rsid w:val="2B8660E5"/>
    <w:rsid w:val="2F8F216F"/>
    <w:rsid w:val="33274385"/>
    <w:rsid w:val="341817B2"/>
    <w:rsid w:val="3521391C"/>
    <w:rsid w:val="379A6C11"/>
    <w:rsid w:val="3E1D61D5"/>
    <w:rsid w:val="4950535A"/>
    <w:rsid w:val="509C1BCE"/>
    <w:rsid w:val="50B272AC"/>
    <w:rsid w:val="578B46DA"/>
    <w:rsid w:val="57E20921"/>
    <w:rsid w:val="5B271E77"/>
    <w:rsid w:val="65725CAF"/>
    <w:rsid w:val="69BA3098"/>
    <w:rsid w:val="6A4421D2"/>
    <w:rsid w:val="6B496F3C"/>
    <w:rsid w:val="6D535020"/>
    <w:rsid w:val="6EDB19F3"/>
    <w:rsid w:val="70197A1D"/>
    <w:rsid w:val="747A616D"/>
    <w:rsid w:val="7B01294A"/>
    <w:rsid w:val="7F671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heme="minorHAnsi" w:hAnsiTheme="minorHAnsi" w:eastAsiaTheme="minorEastAsia" w:cstheme="minorBidi"/>
      <w:kern w:val="2"/>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pPr>
      <w:ind w:left="276"/>
      <w:jc w:val="both"/>
    </w:pPr>
    <w:rPr>
      <w:rFonts w:ascii="PMingLiU" w:hAnsi="PMingLiU" w:eastAsia="PMingLiU" w:cs="PMingLiU"/>
      <w:sz w:val="19"/>
      <w:szCs w:val="19"/>
      <w:lang w:val="ro-RO" w:eastAsia="ro-RO" w:bidi="ro-RO"/>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Emphasis"/>
    <w:basedOn w:val="10"/>
    <w:qFormat/>
    <w:uiPriority w:val="0"/>
    <w:rPr>
      <w:i/>
    </w:rPr>
  </w:style>
  <w:style w:type="character" w:styleId="13">
    <w:name w:val="Hyperlink"/>
    <w:basedOn w:val="10"/>
    <w:qFormat/>
    <w:uiPriority w:val="0"/>
    <w:rPr>
      <w:color w:val="0000FF"/>
      <w:u w:val="single"/>
    </w:rPr>
  </w:style>
  <w:style w:type="character" w:styleId="14">
    <w:name w:val="footnote reference"/>
    <w:basedOn w:val="10"/>
    <w:qFormat/>
    <w:uiPriority w:val="0"/>
    <w:rPr>
      <w:vertAlign w:val="superscript"/>
    </w:rPr>
  </w:style>
  <w:style w:type="paragraph" w:styleId="15">
    <w:name w:val="List Paragraph"/>
    <w:basedOn w:val="1"/>
    <w:qFormat/>
    <w:uiPriority w:val="1"/>
    <w:pPr>
      <w:spacing w:line="277" w:lineRule="exact"/>
      <w:ind w:left="111" w:hanging="238"/>
      <w:jc w:val="both"/>
    </w:pPr>
    <w:rPr>
      <w:rFonts w:ascii="PMingLiU" w:hAnsi="PMingLiU" w:eastAsia="PMingLiU" w:cs="PMingLiU"/>
      <w:lang w:val="ro-RO" w:eastAsia="ro-RO" w:bidi="ro-R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2018-12-18T00:43:00Z</dcterms:created>
  <dc:creator>Administrator</dc:creator>
  <cp:lastModifiedBy>童</cp:lastModifiedBy>
  <dcterms:modified xsi:type="dcterms:W3CDTF">2019-06-10T07:14:00Z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